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69B" w:rsidRDefault="008C569B" w:rsidP="008C569B">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МЕТОДИЧЕСКИЕ РЕКОМЕНДАЦИИ</w:t>
      </w:r>
    </w:p>
    <w:p w:rsidR="008C569B" w:rsidRDefault="008C569B" w:rsidP="008C569B">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ПО ПРОВЕДЕНИЮ АНАЛИЗА СВЕДЕНИЙ О ДОХОДАХ, РАСХОДАХ,</w:t>
      </w:r>
    </w:p>
    <w:p w:rsidR="008C569B" w:rsidRDefault="008C569B" w:rsidP="008C569B">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ИМУЩЕСТВЕ И ОБЯЗАТЕЛЬСТВАХ ИМУЩЕСТВЕННОГО ХАРАКТЕРА</w:t>
      </w:r>
    </w:p>
    <w:p w:rsidR="008C569B" w:rsidRDefault="008C569B" w:rsidP="008C569B">
      <w:pPr>
        <w:autoSpaceDE w:val="0"/>
        <w:autoSpaceDN w:val="0"/>
        <w:adjustRightInd w:val="0"/>
        <w:spacing w:after="0" w:line="240" w:lineRule="auto"/>
        <w:jc w:val="both"/>
        <w:outlineLvl w:val="0"/>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Настоящие методические рекомендации направлены на оказание методологической помощи подразделениям государственных (муниципальных) органов и организаций по профилактике коррупционных и иных правонарушений (должностным лицам, ответственным за работу по профилактике коррупционных и иных правонарушений) при приеме и анализе сведений о доходах, расходах, об имуществе и обязательствах имущественного характера &lt;1&gt;.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&lt;1&gt; За исключением сведений, представляемых претендентами на замещение посредством прямых выборов должности или на членство в выборном органе (палате органа).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Обязанность отдельных категорий лиц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установлена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от 25 декабря 2008 г. N 273-ФЗ "О противодействии коррупции", а также иными федеральными законами.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сведений входит в число основных функций органов, подразделений и должностных лиц, ответственных за профилактику коррупционных и иных правонарушений, в соответствии с положениями федерального законодательства о противодействии коррупции </w:t>
      </w:r>
      <w:hyperlink w:anchor="Par46" w:history="1">
        <w:r>
          <w:rPr>
            <w:rFonts w:ascii="Arial" w:hAnsi="Arial" w:cs="Arial"/>
            <w:color w:val="0000FF"/>
            <w:sz w:val="20"/>
            <w:szCs w:val="20"/>
          </w:rPr>
          <w:t>&lt;2&gt;</w:t>
        </w:r>
      </w:hyperlink>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Целями настоящих методических рекомендаций являются: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формирование методологии проведения анализа сведений, направленного на оценку объективности и соразмерности имущественного положения отдельных категорий лиц их доходам;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выявление признаков представления недостоверных или неполных сведений, конфликта интересов, иных нарушений положений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обеспечение соблюдения государственными (муниципальными) служащими, работниками, на которых распространяется обязанность представлять сведения, требований антикоррупционного законодательства.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сведений предполагает широкую вариативность действий, включая </w:t>
      </w:r>
      <w:hyperlink w:anchor="Par46" w:history="1">
        <w:r>
          <w:rPr>
            <w:rFonts w:ascii="Arial" w:hAnsi="Arial" w:cs="Arial"/>
            <w:color w:val="0000FF"/>
            <w:sz w:val="20"/>
            <w:szCs w:val="20"/>
          </w:rPr>
          <w:t>&lt;2&gt;</w:t>
        </w:r>
      </w:hyperlink>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проведение бесед с гражданами и государственными (муниципальными) служащими (работниками) с их согласия, получение от них с их согласия необходимых пояснений. Данные действия направлены на конкретизацию содержания представленных сведений, изложение, объективность и (или) полнота которых при анализе вызывает обоснованные сомнения (вопросы). Проведение бесед и получение пояснений могут позволить исключить необходимость принятия решения о проведении проверки достоверности и полноты сведений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направление запросов в целях получения от государственных (муниципальных) органов и организаций информации о соблюдении государственными (муниципальными)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Указанные действия могут осуществляться в целях оперативного уточнения отдельных положений (разделов) представленных сведений до принятия уполномоченным лицом решения о проведении проверки достоверности и полноты сведений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изучение представленных гражданами и государственными (муниципальными) служащими (работниками) сведений, иной полученной информации. Изучение любой имеющейся в открытых источниках информации осуществляется в целях исключения неточностей и ошибок, конкретизации и (или) дополнения представленных сведений, выявления взаимосвязи с представленными за предыдущие периоды сведениями, случаев намеренного сокрытия служащими (работниками) тех или иных сведений, установления признаков, при которых существует вероятность наличия личной заинтересованности у служащего (работника), его родственников, а также иных нарушений положений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 случае если по результатам проведенного анализа была выявлена достаточная информация, свидетельствующая о представлении недостоверных или неполных сведений, конфликте интересов, иных нарушениях положений антикоррупционного законодательства Российской Федерации, принимается соответствующее решение и проводится проверка в соответствии с законодательством Российской Федерации о противодействии коррупции.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I. ПЕРВИЧНАЯ ОЦЕНКА СПРАВКИ О ДОХОДАХ, РАСХОДАХ, ОБ ИМУЩЕСТВЕ И ОБЯЗАТЕЛЬСТВАХ ИМУЩЕСТВЕННОГО ХАРАКТЕРА ЗА ОТЧЕТНЫЙ ПЕРИОД</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hyperlink r:id="rId6" w:history="1">
        <w:r>
          <w:rPr>
            <w:rFonts w:ascii="Arial" w:hAnsi="Arial" w:cs="Arial"/>
            <w:color w:val="0000FF"/>
            <w:sz w:val="20"/>
            <w:szCs w:val="20"/>
          </w:rPr>
          <w:t>Форма</w:t>
        </w:r>
      </w:hyperlink>
      <w:r>
        <w:rPr>
          <w:rFonts w:ascii="Arial" w:hAnsi="Arial" w:cs="Arial"/>
          <w:sz w:val="20"/>
          <w:szCs w:val="20"/>
        </w:rPr>
        <w:t xml:space="preserve"> справки о доходах, расходах, об имуществе и обязательствах имущественного характера (далее - справка)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Прием справки осуществляет государственный (муниципальный) служащий (работник) подразделения по профилактике коррупционных и иных правонарушений (должностное лицо, ответственное за работу по профилактике коррупционных и иных правонарушений).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оценка справки направлена на выявление очевидного отсутствия необходимой информации, возможных неточностей, технических ошибок при заполнении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приеме справки оценивается: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своевременность представления сведений.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соответствие представленной справки утвержденной форме;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правильность указания отчетного периода и отчетной даты, даты представления сведений, наличие подписи гражданина, претендующего на замещение должности государственной службы, иной должности, осуществление полномочий по которой влечет за собой обязанность представлять сведения, или лица, замещающего соответствующую должность, представившего справку на себя (далее также - лицо или служащий (работник)), своих супругу (супруга) и несовершеннолетних детей (далее также - супруга (супруг), несовершеннолетние дети).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Граждане, претендующие на замещение должностей государственной службы, иной должности, осуществление полномочий по которым влечет за собой обязанность представлять сведения, представляют: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доходах супруги (супруга), несовершеннолетних детей, полученных за календарный год (с 1 января по 31 декабря), предшествующий году подачи документов, а также сведения о недвижимом имуществе, транспортных средствах и ценных бумагах, отчужденных в результате безвозмездной сделки в течение указанного периода;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лицу, его супруге (супругу),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Государственные (муниципальные) служащие, (работники) представляют: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и расходах, доходах и расходах супруги (супруга), несовершеннолетних детей, полученных за календарный (отчетный) год (с 1 января по 31 декабря), предшествующий году представления сведений, а также сведения о недвижимом имуществе, транспортных средствах и ценных бумагах, отчужденных в результате безвозмездной сделки в течение указанного периода;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лицу, его супруге (супругу),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полнота заполнения соответствующих разделов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 частности, 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разделе 1 справки в обязательном порядке должны быть заполнены строки </w:t>
      </w:r>
      <w:hyperlink r:id="rId7" w:history="1">
        <w:r>
          <w:rPr>
            <w:rFonts w:ascii="Arial" w:hAnsi="Arial" w:cs="Arial"/>
            <w:color w:val="0000FF"/>
            <w:sz w:val="20"/>
            <w:szCs w:val="20"/>
          </w:rPr>
          <w:t>"Доход по основному месту работы"</w:t>
        </w:r>
      </w:hyperlink>
      <w:r>
        <w:rPr>
          <w:rFonts w:ascii="Arial" w:hAnsi="Arial" w:cs="Arial"/>
          <w:sz w:val="20"/>
          <w:szCs w:val="20"/>
        </w:rPr>
        <w:t xml:space="preserve"> или </w:t>
      </w:r>
      <w:hyperlink r:id="rId8" w:history="1">
        <w:r>
          <w:rPr>
            <w:rFonts w:ascii="Arial" w:hAnsi="Arial" w:cs="Arial"/>
            <w:color w:val="0000FF"/>
            <w:sz w:val="20"/>
            <w:szCs w:val="20"/>
          </w:rPr>
          <w:t>"Иные доходы"</w:t>
        </w:r>
      </w:hyperlink>
      <w:r>
        <w:rPr>
          <w:rFonts w:ascii="Arial" w:hAnsi="Arial" w:cs="Arial"/>
          <w:sz w:val="20"/>
          <w:szCs w:val="20"/>
        </w:rPr>
        <w:t xml:space="preserve">, а также </w:t>
      </w:r>
      <w:hyperlink r:id="rId9" w:history="1">
        <w:r>
          <w:rPr>
            <w:rFonts w:ascii="Arial" w:hAnsi="Arial" w:cs="Arial"/>
            <w:color w:val="0000FF"/>
            <w:sz w:val="20"/>
            <w:szCs w:val="20"/>
          </w:rPr>
          <w:t>строка</w:t>
        </w:r>
      </w:hyperlink>
      <w:r>
        <w:rPr>
          <w:rFonts w:ascii="Arial" w:hAnsi="Arial" w:cs="Arial"/>
          <w:sz w:val="20"/>
          <w:szCs w:val="20"/>
        </w:rPr>
        <w:t xml:space="preserve"> "Итого доход за отчетный период". В случае отсутствия указанных доходов в соответствующих строках справки должно быть указание об отсутствии такого вида дохода (например, "нет", "не имеется", "0" и пр.);</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10" w:history="1">
        <w:r>
          <w:rPr>
            <w:rFonts w:ascii="Arial" w:hAnsi="Arial" w:cs="Arial"/>
            <w:color w:val="0000FF"/>
            <w:sz w:val="20"/>
            <w:szCs w:val="20"/>
          </w:rPr>
          <w:t>разделе 3</w:t>
        </w:r>
      </w:hyperlink>
      <w:r>
        <w:rPr>
          <w:rFonts w:ascii="Arial" w:hAnsi="Arial" w:cs="Arial"/>
          <w:sz w:val="20"/>
          <w:szCs w:val="20"/>
        </w:rPr>
        <w:t xml:space="preserve"> справки, в случае указания наличия имущества в собственности, заполнению подлежат все графы соответствующего подраздела. При этом необходимо обращать внимание, что в обязательном порядке должен быть заполнен </w:t>
      </w:r>
      <w:hyperlink r:id="rId11" w:history="1">
        <w:r>
          <w:rPr>
            <w:rFonts w:ascii="Arial" w:hAnsi="Arial" w:cs="Arial"/>
            <w:color w:val="0000FF"/>
            <w:sz w:val="20"/>
            <w:szCs w:val="20"/>
          </w:rPr>
          <w:t>подраздел 3.1</w:t>
        </w:r>
      </w:hyperlink>
      <w:r>
        <w:rPr>
          <w:rFonts w:ascii="Arial" w:hAnsi="Arial" w:cs="Arial"/>
          <w:sz w:val="20"/>
          <w:szCs w:val="20"/>
        </w:rPr>
        <w:t xml:space="preserve"> "Недвижимое имущество" или </w:t>
      </w:r>
      <w:hyperlink r:id="rId12" w:history="1">
        <w:r>
          <w:rPr>
            <w:rFonts w:ascii="Arial" w:hAnsi="Arial" w:cs="Arial"/>
            <w:color w:val="0000FF"/>
            <w:sz w:val="20"/>
            <w:szCs w:val="20"/>
          </w:rPr>
          <w:t>подраздел 6.1</w:t>
        </w:r>
      </w:hyperlink>
      <w:r>
        <w:rPr>
          <w:rFonts w:ascii="Arial" w:hAnsi="Arial" w:cs="Arial"/>
          <w:sz w:val="20"/>
          <w:szCs w:val="20"/>
        </w:rPr>
        <w:t xml:space="preserve"> "Объекты недвижимого имущества, находящиеся в пользовании" справки. Одновременное отсутствие информации в обоих указанных подразделах не допускается;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13" w:history="1">
        <w:r>
          <w:rPr>
            <w:rFonts w:ascii="Arial" w:hAnsi="Arial" w:cs="Arial"/>
            <w:color w:val="0000FF"/>
            <w:sz w:val="20"/>
            <w:szCs w:val="20"/>
          </w:rPr>
          <w:t>разделах 4</w:t>
        </w:r>
      </w:hyperlink>
      <w:r>
        <w:rPr>
          <w:rFonts w:ascii="Arial" w:hAnsi="Arial" w:cs="Arial"/>
          <w:sz w:val="20"/>
          <w:szCs w:val="20"/>
        </w:rPr>
        <w:t xml:space="preserve"> - </w:t>
      </w:r>
      <w:hyperlink r:id="rId14" w:history="1">
        <w:r>
          <w:rPr>
            <w:rFonts w:ascii="Arial" w:hAnsi="Arial" w:cs="Arial"/>
            <w:color w:val="0000FF"/>
            <w:sz w:val="20"/>
            <w:szCs w:val="20"/>
          </w:rPr>
          <w:t>7</w:t>
        </w:r>
      </w:hyperlink>
      <w:r>
        <w:rPr>
          <w:rFonts w:ascii="Arial" w:hAnsi="Arial" w:cs="Arial"/>
          <w:sz w:val="20"/>
          <w:szCs w:val="20"/>
        </w:rPr>
        <w:t>, в случае наличия соответствующих объектов (счет в банке или иной кредитной организации, акции и иное участие в коммерческих организациях и фондах, иные ценные бумаги, имущество, находящееся в пользовании и пр.), обязательным является заполнение всех соответствующих граф подраздела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приеме справки обязательному уточнению подлежит семейное положение лица в целях подтверждения достаточного объема представленных сведений. Информация о семейном положении подлежит сверке с имеющейся информацией, хранящейся в личном деле лица, представляющего сведения.</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II. ДЕТАЛЬНЫЙ АНАЛИЗ СПРАВКИ О ДОХОДАХ, РАСХОДАХ, ОБ ИМУЩЕСТВЕ И ОБЯЗАТЕЛЬСТВАХ ИМУЩЕСТВЕННОГО ХАРАКТЕРА ЗА ОТЧЕТНЫЙ ПЕРИОД</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Под анализом для целей настоящих Методических рекомендаций подразумевается деятельность по изучению сведений, представляемых лицами в соответствии с законодательством Российской Федерации о противодействии коррупции, и иной полученной информации в целях выявления признаков представления недостоверных или неполных сведений, конфликта интересов и иных нарушений положений антикоррупционного законодательства Российской Федерации, являющихся основанием для проведения дальнейшей проверки &lt;2&gt;.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bookmarkStart w:id="0" w:name="Par46"/>
      <w:bookmarkEnd w:id="0"/>
      <w:r>
        <w:rPr>
          <w:rFonts w:ascii="Arial" w:hAnsi="Arial" w:cs="Arial"/>
          <w:sz w:val="20"/>
          <w:szCs w:val="20"/>
        </w:rPr>
        <w:t xml:space="preserve">&lt;2&gt; </w:t>
      </w:r>
      <w:hyperlink r:id="rId15" w:history="1">
        <w:r>
          <w:rPr>
            <w:rFonts w:ascii="Arial" w:hAnsi="Arial" w:cs="Arial"/>
            <w:color w:val="0000FF"/>
            <w:sz w:val="20"/>
            <w:szCs w:val="20"/>
          </w:rPr>
          <w:t>Подпункт "л" пункта 3</w:t>
        </w:r>
      </w:hyperlink>
      <w:r>
        <w:rPr>
          <w:rFonts w:ascii="Arial" w:hAnsi="Arial" w:cs="Arial"/>
          <w:sz w:val="20"/>
          <w:szCs w:val="20"/>
        </w:rP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16" w:history="1">
        <w:r>
          <w:rPr>
            <w:rFonts w:ascii="Arial" w:hAnsi="Arial" w:cs="Arial"/>
            <w:color w:val="0000FF"/>
            <w:sz w:val="20"/>
            <w:szCs w:val="20"/>
          </w:rPr>
          <w:t>Пункт 1 статьи 10</w:t>
        </w:r>
      </w:hyperlink>
      <w:r>
        <w:rPr>
          <w:rFonts w:ascii="Arial" w:hAnsi="Arial" w:cs="Arial"/>
          <w:sz w:val="20"/>
          <w:szCs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17" w:history="1">
        <w:r>
          <w:rPr>
            <w:rFonts w:ascii="Arial" w:hAnsi="Arial" w:cs="Arial"/>
            <w:color w:val="0000FF"/>
            <w:sz w:val="20"/>
            <w:szCs w:val="20"/>
          </w:rPr>
          <w:t>Подпункт "е" пункта 15</w:t>
        </w:r>
      </w:hyperlink>
      <w:r>
        <w:rPr>
          <w:rFonts w:ascii="Arial" w:hAnsi="Arial" w:cs="Arial"/>
          <w:sz w:val="20"/>
          <w:szCs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Указ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18" w:history="1">
        <w:r>
          <w:rPr>
            <w:rFonts w:ascii="Arial" w:hAnsi="Arial" w:cs="Arial"/>
            <w:color w:val="0000FF"/>
            <w:sz w:val="20"/>
            <w:szCs w:val="20"/>
          </w:rPr>
          <w:t>Подпункт "е" пункта 7</w:t>
        </w:r>
      </w:hyperlink>
      <w:r>
        <w:rPr>
          <w:rFonts w:ascii="Arial" w:hAnsi="Arial" w:cs="Arial"/>
          <w:sz w:val="20"/>
          <w:szCs w:val="20"/>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19" w:history="1">
        <w:r>
          <w:rPr>
            <w:rFonts w:ascii="Arial" w:hAnsi="Arial" w:cs="Arial"/>
            <w:color w:val="0000FF"/>
            <w:sz w:val="20"/>
            <w:szCs w:val="20"/>
          </w:rPr>
          <w:t>Подпункт "и" пункта 6</w:t>
        </w:r>
      </w:hyperlink>
      <w:r>
        <w:rPr>
          <w:rFonts w:ascii="Arial" w:hAnsi="Arial" w:cs="Arial"/>
          <w:sz w:val="20"/>
          <w:szCs w:val="20"/>
        </w:rPr>
        <w:t xml:space="preserve"> Типового положения о подразделении федерального государственного органа по профилактике коррупционных и иных правонарушений, утвержденного Указом Президента Российской Федерации от 15 июля 2015 N 364 "О мерах по совершенствованию организации деятельности в области противодействия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20" w:history="1">
        <w:r>
          <w:rPr>
            <w:rFonts w:ascii="Arial" w:hAnsi="Arial" w:cs="Arial"/>
            <w:color w:val="0000FF"/>
            <w:sz w:val="20"/>
            <w:szCs w:val="20"/>
          </w:rPr>
          <w:t>Подпункт "л" пункта 7</w:t>
        </w:r>
      </w:hyperlink>
      <w:r>
        <w:rPr>
          <w:rFonts w:ascii="Arial" w:hAnsi="Arial" w:cs="Arial"/>
          <w:sz w:val="20"/>
          <w:szCs w:val="20"/>
        </w:rPr>
        <w:t xml:space="preserve"> Типового положения об органе субъекта Российской Федерации по профилактике коррупционных и иных правонарушений, утвержденного Указом Президента Российской Федерации от 15 июля 2015 N 364 "О мерах по совершенствованию организации деятельности в области противодействия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Настоящие Методические рекомендации также могут быть использованы при проведении анализа сведений о доходах, об имуществе и об обязательствах имущественного характера, представляемых руководителями государственных и муниципальных учреждений в соответствии с </w:t>
      </w:r>
      <w:hyperlink r:id="rId21" w:history="1">
        <w:r>
          <w:rPr>
            <w:rFonts w:ascii="Arial" w:hAnsi="Arial" w:cs="Arial"/>
            <w:color w:val="0000FF"/>
            <w:sz w:val="20"/>
            <w:szCs w:val="20"/>
          </w:rPr>
          <w:t>пунктом 3.1 части 1 статьи 8</w:t>
        </w:r>
      </w:hyperlink>
      <w:r>
        <w:rPr>
          <w:rFonts w:ascii="Arial" w:hAnsi="Arial" w:cs="Arial"/>
          <w:sz w:val="20"/>
          <w:szCs w:val="20"/>
        </w:rPr>
        <w:t xml:space="preserve"> Федерального закона N 237-ФЗ и </w:t>
      </w:r>
      <w:hyperlink r:id="rId22" w:history="1">
        <w:r>
          <w:rPr>
            <w:rFonts w:ascii="Arial" w:hAnsi="Arial" w:cs="Arial"/>
            <w:color w:val="0000FF"/>
            <w:sz w:val="20"/>
            <w:szCs w:val="20"/>
          </w:rPr>
          <w:t>частью 4 статьи 275</w:t>
        </w:r>
      </w:hyperlink>
      <w:r>
        <w:rPr>
          <w:rFonts w:ascii="Arial" w:hAnsi="Arial" w:cs="Arial"/>
          <w:sz w:val="20"/>
          <w:szCs w:val="20"/>
        </w:rPr>
        <w:t xml:space="preserve"> Трудового кодекса Российской Федерации.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рамках анализа представленных сведений сопоставляется справка за отчетный период со справками за три предшествующих периода (в случае их наличия), а также с иной имеющейся в распоряжении подразделения государственного (муниципального) органа, организации по профилактике коррупционных и иных правонарушений (должностного лица, ответственного за работу по профилактике коррупционных и иных правонарушений) (далее - уполномоченное подразделение (должностное лицо)) информацией об имущественном положении, осуществляемых полномочиях лица, представившего сведения, и иных лиц, получение и обработка которой не противоречит законодательству Российской Федерации. При невозможности сопоставления сведений со справками за три предшествующих периода, сведения сопоставляются со справками за имеющиеся периоды, а также (при наличии) со справкой, поданной служащим (работником) при поступлении на государственную (муниципальную) службу (работу).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результатам проведенного анализа государственный (муниципальный) служащий, работник уполномоченного подразделения (должностное лицо) может сделать вывод об отсутствии оснований для инициирования проведения проверки достоверности и полноты сведений, либо о наличии достаточной для инициирования проведения проверки информации, в том числе присутствии признаков конфликта интересов, иных нарушений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выявления информации о недостоверности и неполноте сведений, а также признаков конфликта интересов либо иных нарушений законодательства Российской Федерации о противодействии коррупции необходимо проведение проверки. Подробному изучению подлежат сведения в случае их существенного изменения в сторону увеличения уровня дохода, имущества и обязательств имущественного характера лица, его супруги (супруга), несовершеннолетних детей, которые создают обоснованные сомнения в законности дохода, имущества и обязательств имущественного характера.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2.1. Титульный лист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При анализе титульного листа справки следует обратить внимание на: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соответствие фамилии, имени и отчества (полностью, без сокращений), даты рождения, серии, номера, даты выдачи и наименования органа, выдавшего паспорт, имеющейся актуальной информации, хранящейся в личном деле лица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Если справка представлена в отношении члена семьи, то сверяется его фамилия, имя и отчество, дата рождения, родство с лицом, представляющим сведения (супруга (супруг), несовершеннолетний ребенок), серия, номер, паспорта или свидетельства о рождении (для несовершеннолетних детей, не имеющих паспорта), дата выдачи и орган, выдавший документ. Сопоставление указанных сведений осуществляется с имеющейся актуальной информацией, хранящейся в личном деле лица;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соответствие адреса места регистрации лица, его супруги (супруга), несовершеннолетних детей с имеющейся актуальной информации, хранящейся в личном деле лица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согласованность информации о месте регистрации (фактического проживания) со сведениями, указанными в </w:t>
      </w:r>
      <w:hyperlink r:id="rId23" w:history="1">
        <w:r>
          <w:rPr>
            <w:rFonts w:ascii="Arial" w:hAnsi="Arial" w:cs="Arial"/>
            <w:color w:val="0000FF"/>
            <w:sz w:val="20"/>
            <w:szCs w:val="20"/>
          </w:rPr>
          <w:t>подразделах 3.1</w:t>
        </w:r>
      </w:hyperlink>
      <w:r>
        <w:rPr>
          <w:rFonts w:ascii="Arial" w:hAnsi="Arial" w:cs="Arial"/>
          <w:sz w:val="20"/>
          <w:szCs w:val="20"/>
        </w:rPr>
        <w:t xml:space="preserve"> "Недвижимое имущество" или </w:t>
      </w:r>
      <w:hyperlink r:id="rId24" w:history="1">
        <w:r>
          <w:rPr>
            <w:rFonts w:ascii="Arial" w:hAnsi="Arial" w:cs="Arial"/>
            <w:color w:val="0000FF"/>
            <w:sz w:val="20"/>
            <w:szCs w:val="20"/>
          </w:rPr>
          <w:t>6.1</w:t>
        </w:r>
      </w:hyperlink>
      <w:r>
        <w:rPr>
          <w:rFonts w:ascii="Arial" w:hAnsi="Arial" w:cs="Arial"/>
          <w:sz w:val="20"/>
          <w:szCs w:val="20"/>
        </w:rPr>
        <w:t xml:space="preserve"> "Объекты недвижимого имущества, находящиеся в пользовании"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4) правильность указания основного места службы (работы) и замещаемой (занимаемой) должности лица в соответствии с приказом, распоряжением или иным актом о назначении, служебным контрактом (трудовым договором).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лицо поступает на государственную (муниципальную) службу, претендует на замещение должности, осуществление полномочий по которой влечет за собой обязанность представлять сведения, проверяется правильность указания соответствующего места службы (работы), должности.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Для недопущения попытки сокрытия сведений о семейном положении в целях непредставления сведений на супругу (супруга) и несовершеннолетних детей, при приеме справки необходимо удостовериться, что в случае наличия в личном деле информации о супруге лица, представившего сведения, его несовершеннолетнем ребенке, сведения также представлены и на супругу (супруга), несовершеннолетнего ребенка.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 анализе сведений о соблюдении служащими (работниками) требований о предотвращении или урегулировании конфликта интересов подлежат изучению на предмет наличия признаков личной заинтересованности данные о регистрации таких лиц по месту жительства (месту пребывания) или фактическом пользовании недвижимым имуществом с иными гражданами (при наличии таких сведений в уполномоченном подразделении (у должностного лица)).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 один и тот же адрес регистрации может быть указан в справках служащего (работника) и другого служащего (работника), представляющего сведения, в отношении которого он осуществляет финансово-хозяйственные или контрольные функции в рамках одного органа (организации). Данный факт может быть признаком возможного конфликта интересов или нарушения запрета на совместную работу близких родственников или свойственников (родителей, супругов, детей, братьев, сестер, а также братьев, сестер, родителей, детей супругов и супругов детей), в случае, если данный запрет распространяется на указанных лиц, и требует проведения проверки, осуществляемой в соответствии с законодательством Российской Федерации в сфере противодействия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В целях выявления фактов возникновения конфликта интересов и нарушения иных положений законодательства Российской Федерации о противодействии коррупции отдельное внимание необходимо уделять анализу сведений о месте работы супруги (супруга) служащего (работника).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сведений о месте работы супруги (супруга) служащего (работника) рекомендуется использовать открытые источники информации, в том числе размещенные в информационно-телекоммуникационной сети "Интернет", об организациях, в которых работают супруга (супруг) служащего (работника), в целях выявления взаимосвязи организаций, а также наличия возможной личной заинтересованности (прямой или косвенной), которая может повлиять на надлежащее, объективное и беспристрастное исполнение служащим (работником) своих должностных (служебных) обязанностей (полномочий).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 супруга служащего занимает руководящую должность в организации, в отношении которой служащий осуществляет функции контроля. Данный факт может быть признаком наличия конфликта интересов и требует проведения проверки, осуществляемой в соответствии с законодательством Российской Федерации о противодействии коррупции.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2.2. Раздел 1 "Сведения о доходах"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данного </w:t>
      </w:r>
      <w:hyperlink r:id="rId25" w:history="1">
        <w:r>
          <w:rPr>
            <w:rFonts w:ascii="Arial" w:hAnsi="Arial" w:cs="Arial"/>
            <w:color w:val="0000FF"/>
            <w:sz w:val="20"/>
            <w:szCs w:val="20"/>
          </w:rPr>
          <w:t>раздела</w:t>
        </w:r>
      </w:hyperlink>
      <w:r>
        <w:rPr>
          <w:rFonts w:ascii="Arial" w:hAnsi="Arial" w:cs="Arial"/>
          <w:sz w:val="20"/>
          <w:szCs w:val="20"/>
        </w:rPr>
        <w:t xml:space="preserve"> заключается в сопоставлении заявленного общего дохода лица, супруги (супруга), несовершеннолетних детей со сведениями, корреспондирующими с соответствующими позициями данного раздела, и (или) сведениями других разделов справки, а также сведениями, содержащимися в справках за предшествующие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указания лицами, на которых в соответствии с законодательством Российской Федерации возложена обязанность уведомления представителя нанимателя (работодателя) о выполнении иной оплачиваемой деятельности, проверяется наличие в личном деле лица уведомления, поданного на имя представителя нанимателя (работодателя), о намерении осуществлять иную оплачиваемую работу.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Кроме того, в случае указания в данном </w:t>
      </w:r>
      <w:hyperlink r:id="rId26" w:history="1">
        <w:r>
          <w:rPr>
            <w:rFonts w:ascii="Arial" w:hAnsi="Arial" w:cs="Arial"/>
            <w:color w:val="0000FF"/>
            <w:sz w:val="20"/>
            <w:szCs w:val="20"/>
          </w:rPr>
          <w:t>разделе</w:t>
        </w:r>
      </w:hyperlink>
      <w:r>
        <w:rPr>
          <w:rFonts w:ascii="Arial" w:hAnsi="Arial" w:cs="Arial"/>
          <w:sz w:val="20"/>
          <w:szCs w:val="20"/>
        </w:rPr>
        <w:t xml:space="preserve"> справки дохода от иной оплачиваемой работы, необходимо установить наличие соответствующего уведомления о такой работе, представленного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При анализе информации о доходе от указанной выше деятельности (доход от педагогической, научной, иной творческой деятельности, иного вида дохода), полученном лицом, супругой (супругом), несовершеннолетними детьми, необходимо обращать внимание на соотношение такого дохода и дохода, полученного за аналогичный период по основному месту работы.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Подробному анализу на предмет достоверности и полноты представленных сведений подлежит ситуация, при которой доходы, указанные от иной оплачиваемой работы, превышают доходы по основному месту работы за соответствующий период и отсутствуют в справках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случаях, если для осуществления отдельных видов деятельности установлен запрет, проверяется соблюдение данного запрета.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 доходах от вкладов в банках и иных кредитных организациях </w:t>
      </w:r>
      <w:hyperlink r:id="rId27" w:history="1">
        <w:r>
          <w:rPr>
            <w:rFonts w:ascii="Arial" w:hAnsi="Arial" w:cs="Arial"/>
            <w:color w:val="0000FF"/>
            <w:sz w:val="20"/>
            <w:szCs w:val="20"/>
          </w:rPr>
          <w:t>(строка 4)</w:t>
        </w:r>
      </w:hyperlink>
      <w:r>
        <w:rPr>
          <w:rFonts w:ascii="Arial" w:hAnsi="Arial" w:cs="Arial"/>
          <w:sz w:val="20"/>
          <w:szCs w:val="20"/>
        </w:rPr>
        <w:t xml:space="preserve"> сопоставляются с </w:t>
      </w:r>
      <w:hyperlink r:id="rId28" w:history="1">
        <w:r>
          <w:rPr>
            <w:rFonts w:ascii="Arial" w:hAnsi="Arial" w:cs="Arial"/>
            <w:color w:val="0000FF"/>
            <w:sz w:val="20"/>
            <w:szCs w:val="20"/>
          </w:rPr>
          <w:t>разделом 4</w:t>
        </w:r>
      </w:hyperlink>
      <w:r>
        <w:rPr>
          <w:rFonts w:ascii="Arial" w:hAnsi="Arial" w:cs="Arial"/>
          <w:sz w:val="20"/>
          <w:szCs w:val="20"/>
        </w:rPr>
        <w:t xml:space="preserve"> "Сведения о счетах в банках и иных кредитных организациях" справки, а также справок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 доходах, полученных от ценных бумаг и долей участия в коммерческих организациях </w:t>
      </w:r>
      <w:hyperlink r:id="rId29" w:history="1">
        <w:r>
          <w:rPr>
            <w:rFonts w:ascii="Arial" w:hAnsi="Arial" w:cs="Arial"/>
            <w:color w:val="0000FF"/>
            <w:sz w:val="20"/>
            <w:szCs w:val="20"/>
          </w:rPr>
          <w:t>(строка 5)</w:t>
        </w:r>
      </w:hyperlink>
      <w:r>
        <w:rPr>
          <w:rFonts w:ascii="Arial" w:hAnsi="Arial" w:cs="Arial"/>
          <w:sz w:val="20"/>
          <w:szCs w:val="20"/>
        </w:rPr>
        <w:t xml:space="preserve">, должны соотноситься со сведениями, указанными в </w:t>
      </w:r>
      <w:hyperlink r:id="rId30" w:history="1">
        <w:r>
          <w:rPr>
            <w:rFonts w:ascii="Arial" w:hAnsi="Arial" w:cs="Arial"/>
            <w:color w:val="0000FF"/>
            <w:sz w:val="20"/>
            <w:szCs w:val="20"/>
          </w:rPr>
          <w:t>разделе 5</w:t>
        </w:r>
      </w:hyperlink>
      <w:r>
        <w:rPr>
          <w:rFonts w:ascii="Arial" w:hAnsi="Arial" w:cs="Arial"/>
          <w:sz w:val="20"/>
          <w:szCs w:val="20"/>
        </w:rPr>
        <w:t xml:space="preserve"> "Сведения о ценных бумагах" справки, а также справок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Указанные в данном </w:t>
      </w:r>
      <w:hyperlink r:id="rId31" w:history="1">
        <w:r>
          <w:rPr>
            <w:rFonts w:ascii="Arial" w:hAnsi="Arial" w:cs="Arial"/>
            <w:color w:val="0000FF"/>
            <w:sz w:val="20"/>
            <w:szCs w:val="20"/>
          </w:rPr>
          <w:t>разделе</w:t>
        </w:r>
      </w:hyperlink>
      <w:r>
        <w:rPr>
          <w:rFonts w:ascii="Arial" w:hAnsi="Arial" w:cs="Arial"/>
          <w:sz w:val="20"/>
          <w:szCs w:val="20"/>
        </w:rPr>
        <w:t xml:space="preserve"> иные доходы </w:t>
      </w:r>
      <w:hyperlink r:id="rId32" w:history="1">
        <w:r>
          <w:rPr>
            <w:rFonts w:ascii="Arial" w:hAnsi="Arial" w:cs="Arial"/>
            <w:color w:val="0000FF"/>
            <w:sz w:val="20"/>
            <w:szCs w:val="20"/>
          </w:rPr>
          <w:t>(строка 6)</w:t>
        </w:r>
      </w:hyperlink>
      <w:r>
        <w:rPr>
          <w:rFonts w:ascii="Arial" w:hAnsi="Arial" w:cs="Arial"/>
          <w:sz w:val="20"/>
          <w:szCs w:val="20"/>
        </w:rPr>
        <w:t xml:space="preserve"> сверяются с соответствующими сведениями других разделов справки, а также справками за предшествующие периоды. Так, например:</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сведения о доходах, полученных от сдачи в аренду недвижимого имущества, должны соответствовать сведениям о недвижимом имуществе, отражаемым в </w:t>
      </w:r>
      <w:hyperlink r:id="rId33" w:history="1">
        <w:r>
          <w:rPr>
            <w:rFonts w:ascii="Arial" w:hAnsi="Arial" w:cs="Arial"/>
            <w:color w:val="0000FF"/>
            <w:sz w:val="20"/>
            <w:szCs w:val="20"/>
          </w:rPr>
          <w:t>подразделе 3.1</w:t>
        </w:r>
      </w:hyperlink>
      <w:r>
        <w:rPr>
          <w:rFonts w:ascii="Arial" w:hAnsi="Arial" w:cs="Arial"/>
          <w:sz w:val="20"/>
          <w:szCs w:val="20"/>
        </w:rPr>
        <w:t xml:space="preserve"> "Недвижимое имущество"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сведения о доходах, полученных от сдачи в аренду транспортного средства, должны соответствовать сведениям о транспортных средствах, отражаемым в </w:t>
      </w:r>
      <w:hyperlink r:id="rId34" w:history="1">
        <w:r>
          <w:rPr>
            <w:rFonts w:ascii="Arial" w:hAnsi="Arial" w:cs="Arial"/>
            <w:color w:val="0000FF"/>
            <w:sz w:val="20"/>
            <w:szCs w:val="20"/>
          </w:rPr>
          <w:t>подразделе 3.2</w:t>
        </w:r>
      </w:hyperlink>
      <w:r>
        <w:rPr>
          <w:rFonts w:ascii="Arial" w:hAnsi="Arial" w:cs="Arial"/>
          <w:sz w:val="20"/>
          <w:szCs w:val="20"/>
        </w:rPr>
        <w:t xml:space="preserve"> "Транспортные средства"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сведения о доходах в виде денежных средств, полученных лицом, супругой (супругом), несовершеннолетними детьми в результате наследования и (или) дарения. Указанные средства могут быть отражены в </w:t>
      </w:r>
      <w:hyperlink r:id="rId35"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 При этом уточняется факт получения в порядке наследования недвижимого и иного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w:t>
      </w:r>
      <w:hyperlink r:id="rId36" w:history="1">
        <w:r>
          <w:rPr>
            <w:rFonts w:ascii="Arial" w:hAnsi="Arial" w:cs="Arial"/>
            <w:color w:val="0000FF"/>
            <w:sz w:val="20"/>
            <w:szCs w:val="20"/>
          </w:rPr>
          <w:t>раздела 1</w:t>
        </w:r>
      </w:hyperlink>
      <w:r>
        <w:rPr>
          <w:rFonts w:ascii="Arial" w:hAnsi="Arial" w:cs="Arial"/>
          <w:sz w:val="20"/>
          <w:szCs w:val="20"/>
        </w:rPr>
        <w:t xml:space="preserve"> "Сведения о доходах" справки следует обратить внимание на обязательность указания итогового дохода </w:t>
      </w:r>
      <w:hyperlink r:id="rId37" w:history="1">
        <w:r>
          <w:rPr>
            <w:rFonts w:ascii="Arial" w:hAnsi="Arial" w:cs="Arial"/>
            <w:color w:val="0000FF"/>
            <w:sz w:val="20"/>
            <w:szCs w:val="20"/>
          </w:rPr>
          <w:t>(строка 7)</w:t>
        </w:r>
      </w:hyperlink>
      <w:r>
        <w:rPr>
          <w:rFonts w:ascii="Arial" w:hAnsi="Arial" w:cs="Arial"/>
          <w:sz w:val="20"/>
          <w:szCs w:val="20"/>
        </w:rPr>
        <w:t xml:space="preserve">, который складывается из суммы </w:t>
      </w:r>
      <w:hyperlink r:id="rId38" w:history="1">
        <w:r>
          <w:rPr>
            <w:rFonts w:ascii="Arial" w:hAnsi="Arial" w:cs="Arial"/>
            <w:color w:val="0000FF"/>
            <w:sz w:val="20"/>
            <w:szCs w:val="20"/>
          </w:rPr>
          <w:t>строк 1</w:t>
        </w:r>
      </w:hyperlink>
      <w:r>
        <w:rPr>
          <w:rFonts w:ascii="Arial" w:hAnsi="Arial" w:cs="Arial"/>
          <w:sz w:val="20"/>
          <w:szCs w:val="20"/>
        </w:rPr>
        <w:t xml:space="preserve"> - </w:t>
      </w:r>
      <w:hyperlink r:id="rId39" w:history="1">
        <w:r>
          <w:rPr>
            <w:rFonts w:ascii="Arial" w:hAnsi="Arial" w:cs="Arial"/>
            <w:color w:val="0000FF"/>
            <w:sz w:val="20"/>
            <w:szCs w:val="20"/>
          </w:rPr>
          <w:t>6</w:t>
        </w:r>
      </w:hyperlink>
      <w:r>
        <w:rPr>
          <w:rFonts w:ascii="Arial" w:hAnsi="Arial" w:cs="Arial"/>
          <w:sz w:val="20"/>
          <w:szCs w:val="20"/>
        </w:rPr>
        <w:t xml:space="preserve"> данного раздела.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2.3. Раздел 2 "Сведения о расходах"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hyperlink r:id="rId40" w:history="1">
        <w:r>
          <w:rPr>
            <w:rFonts w:ascii="Arial" w:hAnsi="Arial" w:cs="Arial"/>
            <w:color w:val="0000FF"/>
            <w:sz w:val="20"/>
            <w:szCs w:val="20"/>
          </w:rPr>
          <w:t>Раздел 2</w:t>
        </w:r>
      </w:hyperlink>
      <w:r>
        <w:rPr>
          <w:rFonts w:ascii="Arial" w:hAnsi="Arial" w:cs="Arial"/>
          <w:sz w:val="20"/>
          <w:szCs w:val="20"/>
        </w:rPr>
        <w:t xml:space="preserve"> "Сведения о расходах" справки заполняется только в случае, если в отчетном периоде лицом, супругой (супругом),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общая сумма таких сделок превышает общий доход данного лица, супруги (супруга) за три последних года, предшествующих отчетному периоду.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сведений данного </w:t>
      </w:r>
      <w:hyperlink r:id="rId41" w:history="1">
        <w:r>
          <w:rPr>
            <w:rFonts w:ascii="Arial" w:hAnsi="Arial" w:cs="Arial"/>
            <w:color w:val="0000FF"/>
            <w:sz w:val="20"/>
            <w:szCs w:val="20"/>
          </w:rPr>
          <w:t>раздела</w:t>
        </w:r>
      </w:hyperlink>
      <w:r>
        <w:rPr>
          <w:rFonts w:ascii="Arial" w:hAnsi="Arial" w:cs="Arial"/>
          <w:sz w:val="20"/>
          <w:szCs w:val="20"/>
        </w:rPr>
        <w:t xml:space="preserve"> устанавливается соответствие доходов понесенным расходам. Наличие сведений в </w:t>
      </w:r>
      <w:hyperlink r:id="rId42"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 свидетельствует о необходимости проведения более тщательного анализа тех источников получения средств, за счет которых было приобретено соответствующее имущество, ценные бумаги, акции (доли участия, паи в уставных (складочных) капиталах организаций).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Внимание также следует уделить наличию обоснования источников получения средств на приобретение имущества, ценных бумаг, акций (долей участия, паев в уставных (складочных) капиталах организаций) в отчетном периоде лицом, его супругой (супругом) и несовершеннолетними детьми.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источников средств, за счет которых приобретено имущество, указанное в </w:t>
      </w:r>
      <w:hyperlink r:id="rId43"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 следует обратить внимание на следующие возможные источники получения дохода: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 доход, полученный от продажи или сдачи в аренду недвижимого имущества, транспортных средств, который должен подтверждаться соответствующими правоустанавливающими документами (договорами), а также найти свое отражение в </w:t>
      </w:r>
      <w:hyperlink r:id="rId44" w:history="1">
        <w:r>
          <w:rPr>
            <w:rFonts w:ascii="Arial" w:hAnsi="Arial" w:cs="Arial"/>
            <w:color w:val="0000FF"/>
            <w:sz w:val="20"/>
            <w:szCs w:val="20"/>
          </w:rPr>
          <w:t>разделе 1</w:t>
        </w:r>
      </w:hyperlink>
      <w:r>
        <w:rPr>
          <w:rFonts w:ascii="Arial" w:hAnsi="Arial" w:cs="Arial"/>
          <w:sz w:val="20"/>
          <w:szCs w:val="20"/>
        </w:rPr>
        <w:t xml:space="preserve"> "Сведения о доходах", </w:t>
      </w:r>
      <w:hyperlink r:id="rId45" w:history="1">
        <w:r>
          <w:rPr>
            <w:rFonts w:ascii="Arial" w:hAnsi="Arial" w:cs="Arial"/>
            <w:color w:val="0000FF"/>
            <w:sz w:val="20"/>
            <w:szCs w:val="20"/>
          </w:rPr>
          <w:t>подразделах 3.1</w:t>
        </w:r>
      </w:hyperlink>
      <w:r>
        <w:rPr>
          <w:rFonts w:ascii="Arial" w:hAnsi="Arial" w:cs="Arial"/>
          <w:sz w:val="20"/>
          <w:szCs w:val="20"/>
        </w:rPr>
        <w:t xml:space="preserve"> "Недвижимое имущество" и </w:t>
      </w:r>
      <w:hyperlink r:id="rId46" w:history="1">
        <w:r>
          <w:rPr>
            <w:rFonts w:ascii="Arial" w:hAnsi="Arial" w:cs="Arial"/>
            <w:color w:val="0000FF"/>
            <w:sz w:val="20"/>
            <w:szCs w:val="20"/>
          </w:rPr>
          <w:t>3.2</w:t>
        </w:r>
      </w:hyperlink>
      <w:r>
        <w:rPr>
          <w:rFonts w:ascii="Arial" w:hAnsi="Arial" w:cs="Arial"/>
          <w:sz w:val="20"/>
          <w:szCs w:val="20"/>
        </w:rPr>
        <w:t xml:space="preserve"> "Транспортные средства" справки (в случае, если такие сведения подлежат отражению в соответствующем подразделе);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денежные средства, полученные от физических лиц, в результате наследования, дарения, которые могут быть подтверждены соответствующими документами (выпиской из наследственного дела, договором дарения) и указаны в </w:t>
      </w:r>
      <w:hyperlink r:id="rId47"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денежные средства, полученные вследствие возникновения срочного обязательства финансового характера (заем, кредит), подтверждаются договором займа, кредитным договором, сведения о которых могут быть отражены в </w:t>
      </w:r>
      <w:hyperlink r:id="rId48"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и (или) </w:t>
      </w:r>
      <w:hyperlink r:id="rId49" w:history="1">
        <w:r>
          <w:rPr>
            <w:rFonts w:ascii="Arial" w:hAnsi="Arial" w:cs="Arial"/>
            <w:color w:val="0000FF"/>
            <w:sz w:val="20"/>
            <w:szCs w:val="20"/>
          </w:rPr>
          <w:t>подразделе 6.2</w:t>
        </w:r>
      </w:hyperlink>
      <w:r>
        <w:rPr>
          <w:rFonts w:ascii="Arial" w:hAnsi="Arial" w:cs="Arial"/>
          <w:sz w:val="20"/>
          <w:szCs w:val="20"/>
        </w:rPr>
        <w:t xml:space="preserve"> "Срочные обязательства финансового характера" справки в случае, если </w:t>
      </w:r>
      <w:hyperlink r:id="rId50" w:history="1">
        <w:r>
          <w:rPr>
            <w:rFonts w:ascii="Arial" w:hAnsi="Arial" w:cs="Arial"/>
            <w:color w:val="0000FF"/>
            <w:sz w:val="20"/>
            <w:szCs w:val="20"/>
          </w:rPr>
          <w:t>подраздел 6.2</w:t>
        </w:r>
      </w:hyperlink>
      <w:r>
        <w:rPr>
          <w:rFonts w:ascii="Arial" w:hAnsi="Arial" w:cs="Arial"/>
          <w:sz w:val="20"/>
          <w:szCs w:val="20"/>
        </w:rPr>
        <w:t>. подлежит заполнению;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личные накопления семьи за предыдущие годы;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доход, полученный в результате владения ценными бумагами, акциями, (долями участия, паями в уставных (складочных) капиталах организаций), сведения о владении которыми сверяются со сведениями </w:t>
      </w:r>
      <w:hyperlink r:id="rId51" w:history="1">
        <w:r>
          <w:rPr>
            <w:rFonts w:ascii="Arial" w:hAnsi="Arial" w:cs="Arial"/>
            <w:color w:val="0000FF"/>
            <w:sz w:val="20"/>
            <w:szCs w:val="20"/>
          </w:rPr>
          <w:t>раздела 1</w:t>
        </w:r>
      </w:hyperlink>
      <w:r>
        <w:rPr>
          <w:rFonts w:ascii="Arial" w:hAnsi="Arial" w:cs="Arial"/>
          <w:sz w:val="20"/>
          <w:szCs w:val="20"/>
        </w:rPr>
        <w:t xml:space="preserve"> "Сведения о доходах" и </w:t>
      </w:r>
      <w:hyperlink r:id="rId52" w:history="1">
        <w:r>
          <w:rPr>
            <w:rFonts w:ascii="Arial" w:hAnsi="Arial" w:cs="Arial"/>
            <w:color w:val="0000FF"/>
            <w:sz w:val="20"/>
            <w:szCs w:val="20"/>
          </w:rPr>
          <w:t>раздела 5</w:t>
        </w:r>
      </w:hyperlink>
      <w:r>
        <w:rPr>
          <w:rFonts w:ascii="Arial" w:hAnsi="Arial" w:cs="Arial"/>
          <w:sz w:val="20"/>
          <w:szCs w:val="20"/>
        </w:rPr>
        <w:t xml:space="preserve"> "Сведения о ценных бумагах"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проведении анализа данного </w:t>
      </w:r>
      <w:hyperlink r:id="rId53" w:history="1">
        <w:r>
          <w:rPr>
            <w:rFonts w:ascii="Arial" w:hAnsi="Arial" w:cs="Arial"/>
            <w:color w:val="0000FF"/>
            <w:sz w:val="20"/>
            <w:szCs w:val="20"/>
          </w:rPr>
          <w:t>раздела</w:t>
        </w:r>
      </w:hyperlink>
      <w:r>
        <w:rPr>
          <w:rFonts w:ascii="Arial" w:hAnsi="Arial" w:cs="Arial"/>
          <w:sz w:val="20"/>
          <w:szCs w:val="20"/>
        </w:rPr>
        <w:t xml:space="preserve"> следует учитывать, возможность невнесения в справку сведений о расходах, об имуществе, стоимость которого превышает общий доход лица, супруги (супруга) за три последних года, предшествующих отчетному периоду. При этом указанные объекты имущества (иные доходы) могут быть указаны в соответствующих разделах справки. Данное обстоятельство может свидетельствовать как об ошибках, совершаемых при заполнении справки, так и о намеренном сокрытии, в связи с чем, появление любого нового имущества в других разделах справки подлежит тщательной проверке на предмет его отнесения к </w:t>
      </w:r>
      <w:hyperlink r:id="rId54" w:history="1">
        <w:r>
          <w:rPr>
            <w:rFonts w:ascii="Arial" w:hAnsi="Arial" w:cs="Arial"/>
            <w:color w:val="0000FF"/>
            <w:sz w:val="20"/>
            <w:szCs w:val="20"/>
          </w:rPr>
          <w:t>разделу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сведений о расходах внимание также необходимо уделять доходам, которые не могут быть проверены через достоверные и доступные источники информации, так как указанные доходы могут являться одним из признаков возможного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наличии достаточной информации, свидетельствующей о возможных нарушениях запретов, ограничений и обязанностей, установленных в целях противодействия коррупции, осуществляется проверка в соответствии с законодательством Российской Федерации.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2.4. Раздел 3 "Сведения об имуществе"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проведении анализа данного </w:t>
      </w:r>
      <w:hyperlink r:id="rId55" w:history="1">
        <w:r>
          <w:rPr>
            <w:rFonts w:ascii="Arial" w:hAnsi="Arial" w:cs="Arial"/>
            <w:color w:val="0000FF"/>
            <w:sz w:val="20"/>
            <w:szCs w:val="20"/>
          </w:rPr>
          <w:t>раздела</w:t>
        </w:r>
      </w:hyperlink>
      <w:r>
        <w:rPr>
          <w:rFonts w:ascii="Arial" w:hAnsi="Arial" w:cs="Arial"/>
          <w:sz w:val="20"/>
          <w:szCs w:val="20"/>
        </w:rPr>
        <w:t xml:space="preserve"> справки изучению подлежат сведения: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 виде собственности на объект движимого и недвижимого имущества (индивидуальная, долевая, общая). При этом для совместной собственности должны быть указаны иные лица (фамилия, имя, отчество или наименование), в собственности которых находится имущество. Вместе с тем для долевой собственности необходимо указание размера доли лица, сведения об имуществе которого представляются;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об адресе регистрации (местонахождении) объекта недвижимого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 наименовании регистрационного органа, в котором зарегистрировано транспортное средство (например, наименование органа Госавтоинспекции);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 площади (кв. м) (для объектов недвижимого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 основании приобретения (наименование и реквизиты документа, являющегося законным основанием для возникновения права собственности);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об источнике средств, за счет которых приобретено недвижимое имущество, в случае, если такое имущество находится за пределами территории Российской Федерации (</w:t>
      </w:r>
      <w:hyperlink r:id="rId56" w:history="1">
        <w:r>
          <w:rPr>
            <w:rFonts w:ascii="Arial" w:hAnsi="Arial" w:cs="Arial"/>
            <w:color w:val="0000FF"/>
            <w:sz w:val="20"/>
            <w:szCs w:val="20"/>
          </w:rPr>
          <w:t>часть 1 статьи 4</w:t>
        </w:r>
      </w:hyperlink>
      <w:r>
        <w:rPr>
          <w:rFonts w:ascii="Arial" w:hAnsi="Arial" w:cs="Arial"/>
          <w:sz w:val="20"/>
          <w:szCs w:val="20"/>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w:t>
      </w:r>
      <w:r>
        <w:rPr>
          <w:rFonts w:ascii="Arial" w:hAnsi="Arial" w:cs="Arial"/>
          <w:sz w:val="20"/>
          <w:szCs w:val="20"/>
        </w:rPr>
        <w:lastRenderedPageBreak/>
        <w:t>инструментами"). При этом сведения о вышеуказанном источнике должны указываться в справке ежегодно, вне зависимости от года приобретения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Особое внимание при проведении анализа данного </w:t>
      </w:r>
      <w:hyperlink r:id="rId57" w:history="1">
        <w:r>
          <w:rPr>
            <w:rFonts w:ascii="Arial" w:hAnsi="Arial" w:cs="Arial"/>
            <w:color w:val="0000FF"/>
            <w:sz w:val="20"/>
            <w:szCs w:val="20"/>
          </w:rPr>
          <w:t>раздела</w:t>
        </w:r>
      </w:hyperlink>
      <w:r>
        <w:rPr>
          <w:rFonts w:ascii="Arial" w:hAnsi="Arial" w:cs="Arial"/>
          <w:sz w:val="20"/>
          <w:szCs w:val="20"/>
        </w:rPr>
        <w:t xml:space="preserve"> справки следует обращать на любое имущество, приобретенное (отчужденное) в отчетном периоде лицом, супругой (супругом) и несовершеннолетними детьми в сравнении со сведениями, указанными в справках за предыдущие отчетные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Факт отсутствия в справке за отчетный период сведений об имуществе, ранее указанном в справках за предыдущие отчетные периоды, должен корреспондироваться со сведениями, указанными в </w:t>
      </w:r>
      <w:hyperlink r:id="rId58"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в качестве дохода, полученного от продажи (отчуждения) данного имущества, либо с информацией, указанной в </w:t>
      </w:r>
      <w:hyperlink r:id="rId59"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 об отчуждении на безвозмездной основе. Если доход от продажи (отчуждения) имущества не указан и </w:t>
      </w:r>
      <w:hyperlink r:id="rId60" w:history="1">
        <w:r>
          <w:rPr>
            <w:rFonts w:ascii="Arial" w:hAnsi="Arial" w:cs="Arial"/>
            <w:color w:val="0000FF"/>
            <w:sz w:val="20"/>
            <w:szCs w:val="20"/>
          </w:rPr>
          <w:t>раздел 7</w:t>
        </w:r>
      </w:hyperlink>
      <w:r>
        <w:rPr>
          <w:rFonts w:ascii="Arial" w:hAnsi="Arial" w:cs="Arial"/>
          <w:sz w:val="20"/>
          <w:szCs w:val="20"/>
        </w:rPr>
        <w:t xml:space="preserve"> справки не заполнен - у лица необходимо запросить пояснения, касающиеся порядка отчуждения данного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появлении в отчетном периоде нового имущества рекомендуется удостовериться, что данное имущество соразмерно доходам лица, супруги (супруга). При этом устанавливаются источники средств на его приобретение путем анализа: суммы общего дохода (</w:t>
      </w:r>
      <w:hyperlink r:id="rId61" w:history="1">
        <w:r>
          <w:rPr>
            <w:rFonts w:ascii="Arial" w:hAnsi="Arial" w:cs="Arial"/>
            <w:color w:val="0000FF"/>
            <w:sz w:val="20"/>
            <w:szCs w:val="20"/>
          </w:rPr>
          <w:t>раздел 1</w:t>
        </w:r>
      </w:hyperlink>
      <w:r>
        <w:rPr>
          <w:rFonts w:ascii="Arial" w:hAnsi="Arial" w:cs="Arial"/>
          <w:sz w:val="20"/>
          <w:szCs w:val="20"/>
        </w:rPr>
        <w:t xml:space="preserve"> справки), денежных средств (</w:t>
      </w:r>
      <w:hyperlink r:id="rId62" w:history="1">
        <w:r>
          <w:rPr>
            <w:rFonts w:ascii="Arial" w:hAnsi="Arial" w:cs="Arial"/>
            <w:color w:val="0000FF"/>
            <w:sz w:val="20"/>
            <w:szCs w:val="20"/>
          </w:rPr>
          <w:t>раздел 4</w:t>
        </w:r>
      </w:hyperlink>
      <w:r>
        <w:rPr>
          <w:rFonts w:ascii="Arial" w:hAnsi="Arial" w:cs="Arial"/>
          <w:sz w:val="20"/>
          <w:szCs w:val="20"/>
        </w:rPr>
        <w:t xml:space="preserve"> справки), в том числе изменения сумм остатков на счетах лица, супруги (супруга), а также величины срочных обязательств финансового характера (</w:t>
      </w:r>
      <w:hyperlink r:id="rId63" w:history="1">
        <w:r>
          <w:rPr>
            <w:rFonts w:ascii="Arial" w:hAnsi="Arial" w:cs="Arial"/>
            <w:color w:val="0000FF"/>
            <w:sz w:val="20"/>
            <w:szCs w:val="20"/>
          </w:rPr>
          <w:t>подраздел 6.2</w:t>
        </w:r>
      </w:hyperlink>
      <w:r>
        <w:rPr>
          <w:rFonts w:ascii="Arial" w:hAnsi="Arial" w:cs="Arial"/>
          <w:sz w:val="20"/>
          <w:szCs w:val="20"/>
        </w:rPr>
        <w:t xml:space="preserve"> справки). Необходимо учитывать аналогичные сведения, которые были указаны в справках за предыдущие отчетные периоды (при их наличии).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приобретения имущества в результате совершения безвозмездной сделки (наследования, дарения) устанавливается наследодатель (даритель), а лицу предлагается дать соответствующие пояснения, поскольку возможна ситуация возникновения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следует обратить внимание на следующее.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В случае отсутствия информации об объектах недвижимости, находящихся в собственности лица, супруги (супруга), несовершеннолетних детей, должен быть заполнен </w:t>
      </w:r>
      <w:hyperlink r:id="rId64" w:history="1">
        <w:r>
          <w:rPr>
            <w:rFonts w:ascii="Arial" w:hAnsi="Arial" w:cs="Arial"/>
            <w:color w:val="0000FF"/>
            <w:sz w:val="20"/>
            <w:szCs w:val="20"/>
          </w:rPr>
          <w:t>подраздел 6.1</w:t>
        </w:r>
      </w:hyperlink>
      <w:r>
        <w:rPr>
          <w:rFonts w:ascii="Arial" w:hAnsi="Arial" w:cs="Arial"/>
          <w:sz w:val="20"/>
          <w:szCs w:val="20"/>
        </w:rPr>
        <w:t xml:space="preserve"> "Объекты недвижимого имущества, находящиеся в пользовании" справки, в котором должна быть указана информация об объекте недвижимого имущества, находящегося в пользовании, по адресу которого указанное лицо и члены его семьи зарегистрированы (постоянно или временно). Сопоставление указанных сведений осуществляется с имеющейся актуальной информацией, хранящейся в личном деле лица, представившего сведения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если объект недвижимости указан как индивидуальная собственность лица, его супруги (супруга), несовершеннолетних детей, данный объект может быть указан в </w:t>
      </w:r>
      <w:hyperlink r:id="rId65"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 как находящийся в пользовании у остальных членов семьи (в случае совместного проживания в данном объекте недвижимости).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Объект недвижимого имущества, указанный как находящийся в собственности лица, дополнительно не должен быть указан как находящийся в пользовании того же лица (дублирование соответствующей информации является логической ошибкой при заполнении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При наличии в собственности лица, супруги (супруга), несовершеннолетних детей жилого дома, дачи, садового дома, гаража, машино-места целесообразно уточнять сведения о находящемся в собственности (пользовании) земельном участке по тому же адресу, поскольку указанные объекты, как правило, возводятся на земельных участках, то есть непосредственно связаны с землей, которая может принадлежать лицу на праве собственности. При этом следует учитывать, что земельный участок, на котором возведено строение, может принадлежать на праве собственности другим лицам.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нахождении указанного земельного участка в пользовании лица, супруги (супруга), несовершеннолетних детей, необходимо уточнять наличие соответствующих сведений в </w:t>
      </w:r>
      <w:hyperlink r:id="rId66"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3. При наличии сведений о транспортных средствах следует проверить их реквизиты (марку, модель, год выпуска). Сведения о транспортных средствах сопоставляются с информацией предшествующего отчетного периода. При этом в случае, если вероятная стоимость транспортного средства, приобретенного лицом, супругой (супругом), несовершеннолетними детьми в отчетном периоде является значительной и превышает их общий доход за три последних года, предшествующих отчетному периоду, необходимо проверить наличие соответствующих сведений о транспортном средстве в </w:t>
      </w:r>
      <w:hyperlink r:id="rId67"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 фактам, позволяющим сделать вывод о возможном представлении лицом недостоверных или неполных сведений, можно отнести следующие случаи.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сопоставлении справки за отчетный период с ранее представленными справками выявлен факт появления нового объекта недвижимого имущества, транспортного средства, стоимость которого превышает общий доход лица, супруги (супруга) за три последних года, предшествующих отчетному периоду. При этом сведения о таком объекте не указаны в </w:t>
      </w:r>
      <w:hyperlink r:id="rId68"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справке за отчетный период лица, супруги (супруга), несовершеннолетних детей не отражены объекты недвижимости, транспортные средства, ранее принадлежавшие указанным лицам на праве собственности, и доходы от продажи объектов недвижимости и транспортных средств не указаны в </w:t>
      </w:r>
      <w:hyperlink r:id="rId69"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и отсутствуют сведения в </w:t>
      </w:r>
      <w:hyperlink r:id="rId70"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справке за отчетный период указан новый объект недвижимого имущества. При этом реквизиты документа, являющегося законным основанием для возникновения права собственности, указывают на то, что имущество было приобретено в один из периодов, предшествующих отчетному.</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2.5. Раздел 4 "Сведения о счетах в банках и иных кредитных организациях"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В ходе осуществления анализа данного </w:t>
      </w:r>
      <w:hyperlink r:id="rId71" w:history="1">
        <w:r>
          <w:rPr>
            <w:rFonts w:ascii="Arial" w:hAnsi="Arial" w:cs="Arial"/>
            <w:color w:val="0000FF"/>
            <w:sz w:val="20"/>
            <w:szCs w:val="20"/>
          </w:rPr>
          <w:t>раздела</w:t>
        </w:r>
      </w:hyperlink>
      <w:r>
        <w:rPr>
          <w:rFonts w:ascii="Arial" w:hAnsi="Arial" w:cs="Arial"/>
          <w:sz w:val="20"/>
          <w:szCs w:val="20"/>
        </w:rPr>
        <w:t xml:space="preserve"> необходимо обращать внимание на наименование банка или иной кредитной организации, а также адрес банка или иной кредитной организации, в котором размещены средства лица, супруги (супруга), несовершеннолетних детей, вид и валюту счета, дату открытия счета, сумму поступивших на счет денежных средств, в случае если указанная сумма превышает общий доход лица и его супруга (супруги) за отчетный период и два предшествующих ему года. В данной ситуации к справке прилагается выписка о движении денежных средств по данному счету за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рамках анализа представленные сведения сопоставляются с аналогичными сведениями справок предыдущих отчетных периодов (при их наличии).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Дата открытия счета в банке или иной кредитной организации должна быть не позднее отчетной даты, поскольку счет, который был открыт позднее отчетной даты, в справке не указывается (такие сведения указываются в справке за последующий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наличии кредитных договоров и открытии соответствующих счетов необходимо обращать внимание на отражение сведений в </w:t>
      </w:r>
      <w:hyperlink r:id="rId72" w:history="1">
        <w:r>
          <w:rPr>
            <w:rFonts w:ascii="Arial" w:hAnsi="Arial" w:cs="Arial"/>
            <w:color w:val="0000FF"/>
            <w:sz w:val="20"/>
            <w:szCs w:val="20"/>
          </w:rPr>
          <w:t>подразделе 6.2</w:t>
        </w:r>
      </w:hyperlink>
      <w:r>
        <w:rPr>
          <w:rFonts w:ascii="Arial" w:hAnsi="Arial" w:cs="Arial"/>
          <w:sz w:val="20"/>
          <w:szCs w:val="20"/>
        </w:rPr>
        <w:t xml:space="preserve"> "Срочные обязательства финансового характера" справки (при необходимости).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 фактам, позволяющим сделать вывод о возможном совершении лицом коррупционного правонарушения, можно отнести следующие случаи.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представленной справке за отчетный период указан банковский счет, открытый ранее отчетного периода. При этом в справках за предыдущие отчетные периоды данный счет не фигурирует. В этой связи, возможна ситуация умышленного сокрытия данного счета ранее с целью осуществления денежных операций и не отражения их в справке.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Сумма остатка на счете на конец отчетного периоды многократно превышает заработную плату лица, супруги (супруга), несовершеннолетних детей. В этой связи может быть рассмотрена возможность запроса пояснений, касающихся основания получения указанной суммы.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представленной справке указан депозитный счет со значительным остатком. При этом в </w:t>
      </w:r>
      <w:hyperlink r:id="rId73" w:history="1">
        <w:r>
          <w:rPr>
            <w:rFonts w:ascii="Arial" w:hAnsi="Arial" w:cs="Arial"/>
            <w:color w:val="0000FF"/>
            <w:sz w:val="20"/>
            <w:szCs w:val="20"/>
          </w:rPr>
          <w:t>строке 4 раздела 1</w:t>
        </w:r>
      </w:hyperlink>
      <w:r>
        <w:rPr>
          <w:rFonts w:ascii="Arial" w:hAnsi="Arial" w:cs="Arial"/>
          <w:sz w:val="20"/>
          <w:szCs w:val="20"/>
        </w:rPr>
        <w:t xml:space="preserve"> "Сведений о доходах" справки отсутствуют сведения о доходе от вклада в банке или иной </w:t>
      </w:r>
      <w:r>
        <w:rPr>
          <w:rFonts w:ascii="Arial" w:hAnsi="Arial" w:cs="Arial"/>
          <w:sz w:val="20"/>
          <w:szCs w:val="20"/>
        </w:rPr>
        <w:lastRenderedPageBreak/>
        <w:t>кредитной организации. В этой связи необходимо учитывать, что по истечению временного периода, определяемого банком или иной кредитной организацией, осуществляется выплата процентов по вкладу.</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2.6. Раздел 5 "Сведения о ценных бумагах"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w:t>
      </w:r>
      <w:hyperlink r:id="rId74" w:history="1">
        <w:r>
          <w:rPr>
            <w:rFonts w:ascii="Arial" w:hAnsi="Arial" w:cs="Arial"/>
            <w:color w:val="0000FF"/>
            <w:sz w:val="20"/>
            <w:szCs w:val="20"/>
          </w:rPr>
          <w:t>подраздела 5.1</w:t>
        </w:r>
      </w:hyperlink>
      <w:r>
        <w:rPr>
          <w:rFonts w:ascii="Arial" w:hAnsi="Arial" w:cs="Arial"/>
          <w:sz w:val="20"/>
          <w:szCs w:val="20"/>
        </w:rPr>
        <w:t xml:space="preserve"> "Акции и иное участие в коммерческих организациях и фондах" справки следует обратить внимание на обязательность заполнения всех соответствующих разделов. В случае наличия ценных бумаг в соответствующем подразделе должно быть указано:</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полное или сокращенное официальное наименование организации и ее организационно-правовой формы;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местонахождение организации (адрес);</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уставный капитал организации (особое внимание необходимо уделить случаям, при которых уставный капитал организации выражен в иностранной валюте. В данной ситуации необходимо уточнить курс Банка России на отчетную дату и осуществить соответствующие расчеты);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доля участия;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основания участия.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При анализе </w:t>
      </w:r>
      <w:hyperlink r:id="rId75" w:history="1">
        <w:r>
          <w:rPr>
            <w:rFonts w:ascii="Arial" w:hAnsi="Arial" w:cs="Arial"/>
            <w:color w:val="0000FF"/>
            <w:sz w:val="20"/>
            <w:szCs w:val="20"/>
          </w:rPr>
          <w:t>подраздела 5.2</w:t>
        </w:r>
      </w:hyperlink>
      <w:r>
        <w:rPr>
          <w:rFonts w:ascii="Arial" w:hAnsi="Arial" w:cs="Arial"/>
          <w:sz w:val="20"/>
          <w:szCs w:val="20"/>
        </w:rPr>
        <w:t xml:space="preserve"> "Иные ценные бумаги" справки следует обратить внимание на необходимость указания: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вида ценной бумаги;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лица, выпустившего ценную бумагу;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номинальной величины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общего количества;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общей стоимости.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анализе </w:t>
      </w:r>
      <w:hyperlink r:id="rId76" w:history="1">
        <w:r>
          <w:rPr>
            <w:rFonts w:ascii="Arial" w:hAnsi="Arial" w:cs="Arial"/>
            <w:color w:val="0000FF"/>
            <w:sz w:val="20"/>
            <w:szCs w:val="20"/>
          </w:rPr>
          <w:t>подраздела 5.2</w:t>
        </w:r>
      </w:hyperlink>
      <w:r>
        <w:rPr>
          <w:rFonts w:ascii="Arial" w:hAnsi="Arial" w:cs="Arial"/>
          <w:sz w:val="20"/>
          <w:szCs w:val="20"/>
        </w:rPr>
        <w:t xml:space="preserve"> "Иные ценные бумаги" справки необходимо удостовериться, что в данном подразделе не указаны акции, подлежащие отражению в </w:t>
      </w:r>
      <w:hyperlink r:id="rId77" w:history="1">
        <w:r>
          <w:rPr>
            <w:rFonts w:ascii="Arial" w:hAnsi="Arial" w:cs="Arial"/>
            <w:color w:val="0000FF"/>
            <w:sz w:val="20"/>
            <w:szCs w:val="20"/>
          </w:rPr>
          <w:t>подразделе 5.1</w:t>
        </w:r>
      </w:hyperlink>
      <w:r>
        <w:rPr>
          <w:rFonts w:ascii="Arial" w:hAnsi="Arial" w:cs="Arial"/>
          <w:sz w:val="20"/>
          <w:szCs w:val="20"/>
        </w:rPr>
        <w:t xml:space="preserve"> "Акции и иное участие в коммерческих организациях и фондах"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Одновременно необходимо удостовериться в правильности заполнения суммарной декларированной стоимости ценных бумаг, включая долей участия в коммерческих организациях.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Результатами проведенного анализа могут быть выявленные факты наличия или возможного наличия конфликта интересов, а также несоблюдения установленных требований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содержащихся сведений в </w:t>
      </w:r>
      <w:hyperlink r:id="rId78" w:history="1">
        <w:r>
          <w:rPr>
            <w:rFonts w:ascii="Arial" w:hAnsi="Arial" w:cs="Arial"/>
            <w:color w:val="0000FF"/>
            <w:sz w:val="20"/>
            <w:szCs w:val="20"/>
          </w:rPr>
          <w:t>подразделах 5.1</w:t>
        </w:r>
      </w:hyperlink>
      <w:r>
        <w:rPr>
          <w:rFonts w:ascii="Arial" w:hAnsi="Arial" w:cs="Arial"/>
          <w:sz w:val="20"/>
          <w:szCs w:val="20"/>
        </w:rPr>
        <w:t xml:space="preserve"> и </w:t>
      </w:r>
      <w:hyperlink r:id="rId79" w:history="1">
        <w:r>
          <w:rPr>
            <w:rFonts w:ascii="Arial" w:hAnsi="Arial" w:cs="Arial"/>
            <w:color w:val="0000FF"/>
            <w:sz w:val="20"/>
            <w:szCs w:val="20"/>
          </w:rPr>
          <w:t>5.2</w:t>
        </w:r>
      </w:hyperlink>
      <w:r>
        <w:rPr>
          <w:rFonts w:ascii="Arial" w:hAnsi="Arial" w:cs="Arial"/>
          <w:sz w:val="20"/>
          <w:szCs w:val="20"/>
        </w:rPr>
        <w:t xml:space="preserve"> справки позволит выявить конфликт интересов в случаях, если супруг (супруга), несовершеннолетние дети лица владеют ценными бумагами, акциями (долями участия, паями в уставных (складочных) капиталах организаций) организаций, в отношении которых лицом принимались какие-либо решения, в том числе при осуществлении контрольно-надзорных функций.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 случае если вопрос о возможном конфликте интересов в связи с нахождением в собственности ценных бумаг, долей участия в коммерческих организациях рассматривался на комиссии по соблюдению требований к служебному поведению и урегулированию конфликта интересов, и комиссией было рекомендовано передать ценные бумаги, доли в уставном (складочном) капитале в доверительное управление - проверяется полнота исполнения указанной рекомендации.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В случае наличия справок за предыдущие отчетные периоды необходимо проанализировать представленную справку в части увеличения и (или) уменьшения позиций в данном </w:t>
      </w:r>
      <w:hyperlink r:id="rId80" w:history="1">
        <w:r>
          <w:rPr>
            <w:rFonts w:ascii="Arial" w:hAnsi="Arial" w:cs="Arial"/>
            <w:color w:val="0000FF"/>
            <w:sz w:val="20"/>
            <w:szCs w:val="20"/>
          </w:rPr>
          <w:t>разделе</w:t>
        </w:r>
      </w:hyperlink>
      <w:r>
        <w:rPr>
          <w:rFonts w:ascii="Arial" w:hAnsi="Arial" w:cs="Arial"/>
          <w:sz w:val="20"/>
          <w:szCs w:val="20"/>
        </w:rPr>
        <w:t xml:space="preserve"> и сведений о каждой позиции.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8. В случае выявления факта отчуждения ценных бумаг и долей участия в коммерческих организациях, получения дивидендов или дохода от операций с ценными бумагами соответствующая информация подлежит отражению в </w:t>
      </w:r>
      <w:hyperlink r:id="rId81"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При отчуждении ценных бумаг и долей участия в коммерческих организациях на безвозмездной основе должен быть заполнен </w:t>
      </w:r>
      <w:hyperlink r:id="rId82" w:history="1">
        <w:r>
          <w:rPr>
            <w:rFonts w:ascii="Arial" w:hAnsi="Arial" w:cs="Arial"/>
            <w:color w:val="0000FF"/>
            <w:sz w:val="20"/>
            <w:szCs w:val="20"/>
          </w:rPr>
          <w:t>раздел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приобретения ценных бумаг, долей участия в коммерческих организациях целесообразно уточнить стоимость их приобретения и, как следствие, необходимость заполнения </w:t>
      </w:r>
      <w:hyperlink r:id="rId83" w:history="1">
        <w:r>
          <w:rPr>
            <w:rFonts w:ascii="Arial" w:hAnsi="Arial" w:cs="Arial"/>
            <w:color w:val="0000FF"/>
            <w:sz w:val="20"/>
            <w:szCs w:val="20"/>
          </w:rPr>
          <w:t>раздела 2</w:t>
        </w:r>
      </w:hyperlink>
      <w:r>
        <w:rPr>
          <w:rFonts w:ascii="Arial" w:hAnsi="Arial" w:cs="Arial"/>
          <w:sz w:val="20"/>
          <w:szCs w:val="20"/>
        </w:rPr>
        <w:t xml:space="preserve"> "Сведения о расходах" справки. Одновременно необходимо сравнить информацию о предоставленной стоимости приобретения со среднерыночной ценой на дату их приобретения. В случае существенного расхождения между данными показателями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В случае наличия сомнений в достоверности отражения информации целесообразно запросить пояснения у лица, представившего сведения.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В случае, если в отчетном периоде совершены сделки с недвижимым имуществом и (или) транспортными средствами и в связи с этим заполнен </w:t>
      </w:r>
      <w:hyperlink r:id="rId84" w:history="1">
        <w:r>
          <w:rPr>
            <w:rFonts w:ascii="Arial" w:hAnsi="Arial" w:cs="Arial"/>
            <w:color w:val="0000FF"/>
            <w:sz w:val="20"/>
            <w:szCs w:val="20"/>
          </w:rPr>
          <w:t>раздел 2</w:t>
        </w:r>
      </w:hyperlink>
      <w:r>
        <w:rPr>
          <w:rFonts w:ascii="Arial" w:hAnsi="Arial" w:cs="Arial"/>
          <w:sz w:val="20"/>
          <w:szCs w:val="20"/>
        </w:rPr>
        <w:t xml:space="preserve"> справки, любые приобретения ценных бумаг и долей участия в коммерческих организациях автоматически (по совокупности) подлежат декларированию в </w:t>
      </w:r>
      <w:hyperlink r:id="rId85" w:history="1">
        <w:r>
          <w:rPr>
            <w:rFonts w:ascii="Arial" w:hAnsi="Arial" w:cs="Arial"/>
            <w:color w:val="0000FF"/>
            <w:sz w:val="20"/>
            <w:szCs w:val="20"/>
          </w:rPr>
          <w:t>разделе 2</w:t>
        </w:r>
      </w:hyperlink>
      <w:r>
        <w:rPr>
          <w:rFonts w:ascii="Arial" w:hAnsi="Arial" w:cs="Arial"/>
          <w:sz w:val="20"/>
          <w:szCs w:val="20"/>
        </w:rPr>
        <w:t xml:space="preserve"> справки.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2.7. Раздел 6 "Сведения об обязательствах имущественного характера"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w:t>
      </w:r>
      <w:hyperlink r:id="rId86" w:history="1">
        <w:r>
          <w:rPr>
            <w:rFonts w:ascii="Arial" w:hAnsi="Arial" w:cs="Arial"/>
            <w:color w:val="0000FF"/>
            <w:sz w:val="20"/>
            <w:szCs w:val="20"/>
          </w:rPr>
          <w:t>подраздела 6.1</w:t>
        </w:r>
      </w:hyperlink>
      <w:r>
        <w:rPr>
          <w:rFonts w:ascii="Arial" w:hAnsi="Arial" w:cs="Arial"/>
          <w:sz w:val="20"/>
          <w:szCs w:val="20"/>
        </w:rPr>
        <w:t xml:space="preserve"> "Объекты недвижимого имущества, находящиеся в пользовании" справки следует обратить внимание на правильность указания следующих аспектов: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вида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вида и сроков пользования;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основания пользования;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местонахождения (адреса);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площади (кв. 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если на титульном листе справки указанное в информации о регистрации имущество не отражено в </w:t>
      </w:r>
      <w:hyperlink r:id="rId87" w:history="1">
        <w:r>
          <w:rPr>
            <w:rFonts w:ascii="Arial" w:hAnsi="Arial" w:cs="Arial"/>
            <w:color w:val="0000FF"/>
            <w:sz w:val="20"/>
            <w:szCs w:val="20"/>
          </w:rPr>
          <w:t>подразделе 3.1</w:t>
        </w:r>
      </w:hyperlink>
      <w:r>
        <w:rPr>
          <w:rFonts w:ascii="Arial" w:hAnsi="Arial" w:cs="Arial"/>
          <w:sz w:val="20"/>
          <w:szCs w:val="20"/>
        </w:rPr>
        <w:t xml:space="preserve"> "Недвижимое имущество" справки, такое имущество подлежит указанию в </w:t>
      </w:r>
      <w:hyperlink r:id="rId88"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случае если достоверно известно об объектах недвижимого имущества, которые на постоянной основе используются лицом, супругой (супругом), несовершеннолетними детьми, и такие объекты не отражены в данном </w:t>
      </w:r>
      <w:hyperlink r:id="rId89" w:history="1">
        <w:r>
          <w:rPr>
            <w:rFonts w:ascii="Arial" w:hAnsi="Arial" w:cs="Arial"/>
            <w:color w:val="0000FF"/>
            <w:sz w:val="20"/>
            <w:szCs w:val="20"/>
          </w:rPr>
          <w:t>подразделе</w:t>
        </w:r>
      </w:hyperlink>
      <w:r>
        <w:rPr>
          <w:rFonts w:ascii="Arial" w:hAnsi="Arial" w:cs="Arial"/>
          <w:sz w:val="20"/>
          <w:szCs w:val="20"/>
        </w:rPr>
        <w:t>, то необходимо запросить соответствующие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При анализе </w:t>
      </w:r>
      <w:hyperlink r:id="rId90" w:history="1">
        <w:r>
          <w:rPr>
            <w:rFonts w:ascii="Arial" w:hAnsi="Arial" w:cs="Arial"/>
            <w:color w:val="0000FF"/>
            <w:sz w:val="20"/>
            <w:szCs w:val="20"/>
          </w:rPr>
          <w:t>подраздела 6.2</w:t>
        </w:r>
      </w:hyperlink>
      <w:r>
        <w:rPr>
          <w:rFonts w:ascii="Arial" w:hAnsi="Arial" w:cs="Arial"/>
          <w:sz w:val="20"/>
          <w:szCs w:val="20"/>
        </w:rPr>
        <w:t xml:space="preserve"> "Срочные обязательства финансового характера" справки следует обратить внимание на необходимость указания: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содержания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кредитора (должника);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основания возникновения;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суммы обязательства/размера обязательства по состоянию на отчетную дату (особое внимание необходимо уделить случаям, при которых срочное обязательство финансового характера выражено в иностранной валюте. В данной ситуации необходимо уточнить курс Банка России на отчетную дату и осуществить соответствующие расчеты;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условий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5. При анализе суммы обязательства/размера обязательства по состоянию на отчетную дату необходимо удостовериться, что в данном </w:t>
      </w:r>
      <w:hyperlink r:id="rId91" w:history="1">
        <w:r>
          <w:rPr>
            <w:rFonts w:ascii="Arial" w:hAnsi="Arial" w:cs="Arial"/>
            <w:color w:val="0000FF"/>
            <w:sz w:val="20"/>
            <w:szCs w:val="20"/>
          </w:rPr>
          <w:t>подразделе</w:t>
        </w:r>
      </w:hyperlink>
      <w:r>
        <w:rPr>
          <w:rFonts w:ascii="Arial" w:hAnsi="Arial" w:cs="Arial"/>
          <w:sz w:val="20"/>
          <w:szCs w:val="20"/>
        </w:rPr>
        <w:t xml:space="preserve"> не указаны срочные обязательства финансового характера на сумму менее 500 000 руб., а также срочные обязательства финансового характера, в отношении которых размер обязательства (оставшийся непогашенным долг) составляет менее 500 000 руб.</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При анализе информации о кредиторе (должнике) и гарантиях и поручительствах необходимо удостовериться в отсутствии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При анализе информации об условиях срочного обязательства финансового характера целесообразно сопоставить представленные сведения со среднерыночными условиями. Рекомендуется использовать открытые источники информации, в том числе размещенные в информационно-телекоммуникационной сети "Интернет". Например, уточнить на сайте соответствующего банка или иной кредитной организации размер процентной ставки по аналогичному финансовому обязательству на соответствующую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существенного расхождения между этими показателями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При наличии кредитных договоров необходимо обращать внимание на отражение сведений в </w:t>
      </w:r>
      <w:hyperlink r:id="rId92"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 об имеющихся счетах, которые открыты при заключении кредитных договоров.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получении кредита наличными, необходимо уточнить факт открытия счета в соответствующей кредитной организации. В случае если кредитный договор предполагает открытие счета, информация о таком счете должна быть отражена в </w:t>
      </w:r>
      <w:hyperlink r:id="rId93"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указания в графе "Условия обязательства" заложенного имущества в обеспечение срочного обязательства финансового характера, следует уточнить необходимость отражения такого имущества в </w:t>
      </w:r>
      <w:hyperlink r:id="rId94" w:history="1">
        <w:r>
          <w:rPr>
            <w:rFonts w:ascii="Arial" w:hAnsi="Arial" w:cs="Arial"/>
            <w:color w:val="0000FF"/>
            <w:sz w:val="20"/>
            <w:szCs w:val="20"/>
          </w:rPr>
          <w:t>разделе 3</w:t>
        </w:r>
      </w:hyperlink>
      <w:r>
        <w:rPr>
          <w:rFonts w:ascii="Arial" w:hAnsi="Arial" w:cs="Arial"/>
          <w:sz w:val="20"/>
          <w:szCs w:val="20"/>
        </w:rPr>
        <w:t xml:space="preserve"> "Сведения об имуществе"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случае наличия справок за предыдущие отчетные периоды необходимо проанализировать представленную справку в части увеличения и (или) уменьшения позиций в данном </w:t>
      </w:r>
      <w:hyperlink r:id="rId95" w:history="1">
        <w:r>
          <w:rPr>
            <w:rFonts w:ascii="Arial" w:hAnsi="Arial" w:cs="Arial"/>
            <w:color w:val="0000FF"/>
            <w:sz w:val="20"/>
            <w:szCs w:val="20"/>
          </w:rPr>
          <w:t>разделе</w:t>
        </w:r>
      </w:hyperlink>
      <w:r>
        <w:rPr>
          <w:rFonts w:ascii="Arial" w:hAnsi="Arial" w:cs="Arial"/>
          <w:sz w:val="20"/>
          <w:szCs w:val="20"/>
        </w:rPr>
        <w:t xml:space="preserve"> и сведений о каждой позиции.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Посредством сопоставления представленных справок со справками за предыдущие отчетные периоды выявляется сумма сокращения финансовых обязательств за отчетный год в сравнении с доходами, указанными в </w:t>
      </w:r>
      <w:hyperlink r:id="rId96" w:history="1">
        <w:r>
          <w:rPr>
            <w:rFonts w:ascii="Arial" w:hAnsi="Arial" w:cs="Arial"/>
            <w:color w:val="0000FF"/>
            <w:sz w:val="20"/>
            <w:szCs w:val="20"/>
          </w:rPr>
          <w:t>разделе 1</w:t>
        </w:r>
      </w:hyperlink>
      <w:r>
        <w:rPr>
          <w:rFonts w:ascii="Arial" w:hAnsi="Arial" w:cs="Arial"/>
          <w:sz w:val="20"/>
          <w:szCs w:val="20"/>
        </w:rPr>
        <w:t xml:space="preserve"> "Сведения о доходах" представленных справок. В случае наличия сомнений в объективности представленных сведений необходимо запросить пояснения, в том числе в отношении источника погашения обязательств.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Фактом, свидетельствующим о возможном совершении коррупционного правонарушения, может быть ситуация значительного сокращения суммы имевшихся срочных обязательств. При этом сумма выплаченного долга равна или превышает общий доход лица, супруги (супруга) и несовершеннолетних (детей) за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В случае если лицо, супруга (супруг) выступают в качестве кредиторов необходимо сумму предоставленных средств сопоставить с доходами, полученными за отчетный период. В случае наличия сомнений в объективности представленных сведений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В случае если лицу, супруге (супругу) выданы кредиты на значительную сумму на беспроцентной основе или по заведомо низкой ставке, отличающейся от обычных условий кредитования, необходимо изучить данную ситуацию и при необходимости запросить соответствующие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определения среднерыночной ставки и условий предоставления кредитных средств рекомендуется использовать открытые источники информации, в том числе размещенные в информационно-телекоммуникационной сети "Интернет", анализируя ставки и условия кредитных продуктов соответствующего банка или иной кредитной организации на соответствующую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При наличии кредита или займа, сумма которых значительно превышает годовой доход лица, супруги (супруга), необходимо проверить в </w:t>
      </w:r>
      <w:hyperlink r:id="rId97" w:history="1">
        <w:r>
          <w:rPr>
            <w:rFonts w:ascii="Arial" w:hAnsi="Arial" w:cs="Arial"/>
            <w:color w:val="0000FF"/>
            <w:sz w:val="20"/>
            <w:szCs w:val="20"/>
          </w:rPr>
          <w:t>разделе 3.1</w:t>
        </w:r>
      </w:hyperlink>
      <w:r>
        <w:rPr>
          <w:rFonts w:ascii="Arial" w:hAnsi="Arial" w:cs="Arial"/>
          <w:sz w:val="20"/>
          <w:szCs w:val="20"/>
        </w:rPr>
        <w:t xml:space="preserve"> справки наличие соответствующего вновь приобретенного имущества или наличие в </w:t>
      </w:r>
      <w:hyperlink r:id="rId98" w:history="1">
        <w:r>
          <w:rPr>
            <w:rFonts w:ascii="Arial" w:hAnsi="Arial" w:cs="Arial"/>
            <w:color w:val="0000FF"/>
            <w:sz w:val="20"/>
            <w:szCs w:val="20"/>
          </w:rPr>
          <w:t>разделе 6.2</w:t>
        </w:r>
      </w:hyperlink>
      <w:r>
        <w:rPr>
          <w:rFonts w:ascii="Arial" w:hAnsi="Arial" w:cs="Arial"/>
          <w:sz w:val="20"/>
          <w:szCs w:val="20"/>
        </w:rPr>
        <w:t xml:space="preserve"> справки информации о финансовом обязательстве со стороны застройщика.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2.8. 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указанного </w:t>
      </w:r>
      <w:hyperlink r:id="rId99" w:history="1">
        <w:r>
          <w:rPr>
            <w:rFonts w:ascii="Arial" w:hAnsi="Arial" w:cs="Arial"/>
            <w:color w:val="0000FF"/>
            <w:sz w:val="20"/>
            <w:szCs w:val="20"/>
          </w:rPr>
          <w:t>раздела</w:t>
        </w:r>
      </w:hyperlink>
      <w:r>
        <w:rPr>
          <w:rFonts w:ascii="Arial" w:hAnsi="Arial" w:cs="Arial"/>
          <w:sz w:val="20"/>
          <w:szCs w:val="20"/>
        </w:rPr>
        <w:t xml:space="preserve"> необходимо обращать внимание на то, что в соответствии с гражданским законодательством под сделкой понимаются действия граждан и юридических лиц, направленные на установление, изменение или прекращение гражданских прав и обязанностей (</w:t>
      </w:r>
      <w:hyperlink r:id="rId100" w:history="1">
        <w:r>
          <w:rPr>
            <w:rFonts w:ascii="Arial" w:hAnsi="Arial" w:cs="Arial"/>
            <w:color w:val="0000FF"/>
            <w:sz w:val="20"/>
            <w:szCs w:val="20"/>
          </w:rPr>
          <w:t>статья 153</w:t>
        </w:r>
      </w:hyperlink>
      <w:r>
        <w:rPr>
          <w:rFonts w:ascii="Arial" w:hAnsi="Arial" w:cs="Arial"/>
          <w:sz w:val="20"/>
          <w:szCs w:val="20"/>
        </w:rPr>
        <w:t xml:space="preserve"> Гражданского кодекса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в отношении объекта имущества, ранее находившегося в собственности, осуществлена безвозмездная сделка, такая информация должна быть указана в </w:t>
      </w:r>
      <w:hyperlink r:id="rId101"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Информация, указанная в данном </w:t>
      </w:r>
      <w:hyperlink r:id="rId102" w:history="1">
        <w:r>
          <w:rPr>
            <w:rFonts w:ascii="Arial" w:hAnsi="Arial" w:cs="Arial"/>
            <w:color w:val="0000FF"/>
            <w:sz w:val="20"/>
            <w:szCs w:val="20"/>
          </w:rPr>
          <w:t>разделе</w:t>
        </w:r>
      </w:hyperlink>
      <w:r>
        <w:rPr>
          <w:rFonts w:ascii="Arial" w:hAnsi="Arial" w:cs="Arial"/>
          <w:sz w:val="20"/>
          <w:szCs w:val="20"/>
        </w:rPr>
        <w:t>, сопоставляется с иными разделами справки за текущий и предыдущие периоды на предмет согласованности отображения соответствующих сведений.</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pBdr>
          <w:top w:val="single" w:sz="6" w:space="0" w:color="auto"/>
        </w:pBdr>
        <w:autoSpaceDE w:val="0"/>
        <w:autoSpaceDN w:val="0"/>
        <w:adjustRightInd w:val="0"/>
        <w:spacing w:before="100" w:after="100" w:line="240" w:lineRule="auto"/>
        <w:jc w:val="both"/>
        <w:rPr>
          <w:rFonts w:ascii="Arial" w:hAnsi="Arial" w:cs="Arial"/>
          <w:sz w:val="2"/>
          <w:szCs w:val="2"/>
        </w:rPr>
      </w:pPr>
    </w:p>
    <w:p w:rsidR="00CD331C" w:rsidRDefault="00CD331C">
      <w:bookmarkStart w:id="1" w:name="_GoBack"/>
      <w:bookmarkEnd w:id="1"/>
    </w:p>
    <w:sectPr w:rsidR="00CD331C" w:rsidSect="00B47DCA">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69B"/>
    <w:rsid w:val="00314359"/>
    <w:rsid w:val="007C093D"/>
    <w:rsid w:val="008C569B"/>
    <w:rsid w:val="009715B1"/>
    <w:rsid w:val="00CD331C"/>
    <w:rsid w:val="00E30FA8"/>
    <w:rsid w:val="00F6161B"/>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9B68E0D1A88A6FB2EAFA214632529251DB44B6E99B62622B92AE161256FB11F5BDFD9235E5E01E1A17CCA4BFBD8FEF675193B3F3EFAB8D9iD09E" TargetMode="External"/><Relationship Id="rId21" Type="http://schemas.openxmlformats.org/officeDocument/2006/relationships/hyperlink" Target="consultantplus://offline/ref=99B68E0D1A88A6FB2EAFA214632529251DB540669DB62622B92AE161256FB11F5BDFD9235E5E00E7A87CCA4BFBD8FEF675193B3F3EFAB8D9iD09E" TargetMode="External"/><Relationship Id="rId42" Type="http://schemas.openxmlformats.org/officeDocument/2006/relationships/hyperlink" Target="consultantplus://offline/ref=99B68E0D1A88A6FB2EAFA214632529251DB44B6E99B62622B92AE161256FB11F5BDFD9235E5E01E2AB7CCA4BFBD8FEF675193B3F3EFAB8D9iD09E" TargetMode="External"/><Relationship Id="rId47" Type="http://schemas.openxmlformats.org/officeDocument/2006/relationships/hyperlink" Target="consultantplus://offline/ref=99B68E0D1A88A6FB2EAFA214632529251DB44B6E99B62622B92AE161256FB11F5BDFD9235E5E01E1A17CCA4BFBD8FEF675193B3F3EFAB8D9iD09E" TargetMode="External"/><Relationship Id="rId63" Type="http://schemas.openxmlformats.org/officeDocument/2006/relationships/hyperlink" Target="consultantplus://offline/ref=99B68E0D1A88A6FB2EAFA214632529251DB44B6E99B62622B92AE161256FB11F5BDFD9235E5E03E1AF7CCA4BFBD8FEF675193B3F3EFAB8D9iD09E" TargetMode="External"/><Relationship Id="rId68" Type="http://schemas.openxmlformats.org/officeDocument/2006/relationships/hyperlink" Target="consultantplus://offline/ref=99B68E0D1A88A6FB2EAFA214632529251DB44B6E99B62622B92AE161256FB11F5BDFD9235E5E01E2AB7CCA4BFBD8FEF675193B3F3EFAB8D9iD09E" TargetMode="External"/><Relationship Id="rId84" Type="http://schemas.openxmlformats.org/officeDocument/2006/relationships/hyperlink" Target="consultantplus://offline/ref=99B68E0D1A88A6FB2EAFA214632529251DB44B6E99B62622B92AE161256FB11F5BDFD9235E5E01E2AB7CCA4BFBD8FEF675193B3F3EFAB8D9iD09E" TargetMode="External"/><Relationship Id="rId89" Type="http://schemas.openxmlformats.org/officeDocument/2006/relationships/hyperlink" Target="consultantplus://offline/ref=99B68E0D1A88A6FB2EAFA214632529251DB44B6E99B62622B92AE161256FB11F5BDFD9235E5E03E6A97CCA4BFBD8FEF675193B3F3EFAB8D9iD09E" TargetMode="External"/><Relationship Id="rId16" Type="http://schemas.openxmlformats.org/officeDocument/2006/relationships/hyperlink" Target="consultantplus://offline/ref=99B68E0D1A88A6FB2EAFA214632529251DB5406698B92622B92AE161256FB11F5BDFD9235E5E01E2AF7CCA4BFBD8FEF675193B3F3EFAB8D9iD09E" TargetMode="External"/><Relationship Id="rId11" Type="http://schemas.openxmlformats.org/officeDocument/2006/relationships/hyperlink" Target="consultantplus://offline/ref=99B68E0D1A88A6FB2EAFA214632529251DB44B6E99B62622B92AE161256FB11F5BDFD9235E5E00E5AD7CCA4BFBD8FEF675193B3F3EFAB8D9iD09E" TargetMode="External"/><Relationship Id="rId32" Type="http://schemas.openxmlformats.org/officeDocument/2006/relationships/hyperlink" Target="consultantplus://offline/ref=99B68E0D1A88A6FB2EAFA214632529251DB44B6E99B62622B92AE161256FB11F5BDFD9235E5E01E3AE7CCA4BFBD8FEF675193B3F3EFAB8D9iD09E" TargetMode="External"/><Relationship Id="rId37" Type="http://schemas.openxmlformats.org/officeDocument/2006/relationships/hyperlink" Target="consultantplus://offline/ref=99B68E0D1A88A6FB2EAFA214632529251DB44B6E99B62622B92AE161256FB11F5BDFD9235E5E01E2A97CCA4BFBD8FEF675193B3F3EFAB8D9iD09E" TargetMode="External"/><Relationship Id="rId53" Type="http://schemas.openxmlformats.org/officeDocument/2006/relationships/hyperlink" Target="consultantplus://offline/ref=99B68E0D1A88A6FB2EAFA214632529251DB44B6E99B62622B92AE161256FB11F5BDFD9235E5E01E2AB7CCA4BFBD8FEF675193B3F3EFAB8D9iD09E" TargetMode="External"/><Relationship Id="rId58" Type="http://schemas.openxmlformats.org/officeDocument/2006/relationships/hyperlink" Target="consultantplus://offline/ref=99B68E0D1A88A6FB2EAFA214632529251DB44B6E99B62622B92AE161256FB11F5BDFD9235E5E01E1A17CCA4BFBD8FEF675193B3F3EFAB8D9iD09E" TargetMode="External"/><Relationship Id="rId74" Type="http://schemas.openxmlformats.org/officeDocument/2006/relationships/hyperlink" Target="consultantplus://offline/ref=99B68E0D1A88A6FB2EAFA214632529251DB44B6E99B62622B92AE161256FB11F5BDFD9235E5E00ECAA7CCA4BFBD8FEF675193B3F3EFAB8D9iD09E" TargetMode="External"/><Relationship Id="rId79" Type="http://schemas.openxmlformats.org/officeDocument/2006/relationships/hyperlink" Target="consultantplus://offline/ref=99B68E0D1A88A6FB2EAFA214632529251DB44B6E99B62622B92AE161256FB11F5BDFD9235E5E03E4A87CCA4BFBD8FEF675193B3F3EFAB8D9iD09E" TargetMode="External"/><Relationship Id="rId102" Type="http://schemas.openxmlformats.org/officeDocument/2006/relationships/hyperlink" Target="consultantplus://offline/ref=99B68E0D1A88A6FB2EAFA214632529251DB44B6E99B62622B92AE161256FB11F5BDFD9235E5E02E4A17CCA4BFBD8FEF675193B3F3EFAB8D9iD09E" TargetMode="External"/><Relationship Id="rId5" Type="http://schemas.openxmlformats.org/officeDocument/2006/relationships/hyperlink" Target="consultantplus://offline/ref=99B68E0D1A88A6FB2EAFA214632529251DB540669DB62622B92AE161256FB11F5BDFD924575555B4EC22931BBD93F3F569053B3Fi201E" TargetMode="External"/><Relationship Id="rId90" Type="http://schemas.openxmlformats.org/officeDocument/2006/relationships/hyperlink" Target="consultantplus://offline/ref=99B68E0D1A88A6FB2EAFA214632529251DB44B6E99B62622B92AE161256FB11F5BDFD9235E5E03E1AF7CCA4BFBD8FEF675193B3F3EFAB8D9iD09E" TargetMode="External"/><Relationship Id="rId95" Type="http://schemas.openxmlformats.org/officeDocument/2006/relationships/hyperlink" Target="consultantplus://offline/ref=99B68E0D1A88A6FB2EAFA214632529251DB44B6E99B62622B92AE161256FB11F5BDFD9235E5E03E6A87CCA4BFBD8FEF675193B3F3EFAB8D9iD09E" TargetMode="External"/><Relationship Id="rId22" Type="http://schemas.openxmlformats.org/officeDocument/2006/relationships/hyperlink" Target="consultantplus://offline/ref=99B68E0D1A88A6FB2EAFA214632529251DB7486C9DBA2622B92AE161256FB11F5BDFD9235E5C05E6AC7CCA4BFBD8FEF675193B3F3EFAB8D9iD09E" TargetMode="External"/><Relationship Id="rId27" Type="http://schemas.openxmlformats.org/officeDocument/2006/relationships/hyperlink" Target="consultantplus://offline/ref=99B68E0D1A88A6FB2EAFA214632529251DB44B6E99B62622B92AE161256FB11F5BDFD9235E5E01E3AA7CCA4BFBD8FEF675193B3F3EFAB8D9iD09E" TargetMode="External"/><Relationship Id="rId43" Type="http://schemas.openxmlformats.org/officeDocument/2006/relationships/hyperlink" Target="consultantplus://offline/ref=99B68E0D1A88A6FB2EAFA214632529251DB44B6E99B62622B92AE161256FB11F5BDFD9235E5E01E2AB7CCA4BFBD8FEF675193B3F3EFAB8D9iD09E" TargetMode="External"/><Relationship Id="rId48" Type="http://schemas.openxmlformats.org/officeDocument/2006/relationships/hyperlink" Target="consultantplus://offline/ref=99B68E0D1A88A6FB2EAFA214632529251DB44B6E99B62622B92AE161256FB11F5BDFD9235E5E00E2AD7CCA4BFBD8FEF675193B3F3EFAB8D9iD09E" TargetMode="External"/><Relationship Id="rId64" Type="http://schemas.openxmlformats.org/officeDocument/2006/relationships/hyperlink" Target="consultantplus://offline/ref=99B68E0D1A88A6FB2EAFA214632529251DB44B6E99B62622B92AE161256FB11F5BDFD9235E5E03E6A97CCA4BFBD8FEF675193B3F3EFAB8D9iD09E" TargetMode="External"/><Relationship Id="rId69" Type="http://schemas.openxmlformats.org/officeDocument/2006/relationships/hyperlink" Target="consultantplus://offline/ref=99B68E0D1A88A6FB2EAFA214632529251DB44B6E99B62622B92AE161256FB11F5BDFD9235E5E01E1A17CCA4BFBD8FEF675193B3F3EFAB8D9iD09E" TargetMode="External"/><Relationship Id="rId80" Type="http://schemas.openxmlformats.org/officeDocument/2006/relationships/hyperlink" Target="consultantplus://offline/ref=99B68E0D1A88A6FB2EAFA214632529251DB44B6E99B62622B92AE161256FB11F5BDFD9235E5E00ECA97CCA4BFBD8FEF675193B3F3EFAB8D9iD09E" TargetMode="External"/><Relationship Id="rId85" Type="http://schemas.openxmlformats.org/officeDocument/2006/relationships/hyperlink" Target="consultantplus://offline/ref=99B68E0D1A88A6FB2EAFA214632529251DB44B6E99B62622B92AE161256FB11F5BDFD9235E5E01E2AB7CCA4BFBD8FEF675193B3F3EFAB8D9iD09E" TargetMode="External"/><Relationship Id="rId12" Type="http://schemas.openxmlformats.org/officeDocument/2006/relationships/hyperlink" Target="consultantplus://offline/ref=99B68E0D1A88A6FB2EAFA214632529251DB44B6E99B62622B92AE161256FB11F5BDFD9235E5E03E6A97CCA4BFBD8FEF675193B3F3EFAB8D9iD09E" TargetMode="External"/><Relationship Id="rId17" Type="http://schemas.openxmlformats.org/officeDocument/2006/relationships/hyperlink" Target="consultantplus://offline/ref=99B68E0D1A88A6FB2EAFA214632529251DB748699EBC2622B92AE161256FB11F5BDFD9235E5E00E1A97CCA4BFBD8FEF675193B3F3EFAB8D9iD09E" TargetMode="External"/><Relationship Id="rId25" Type="http://schemas.openxmlformats.org/officeDocument/2006/relationships/hyperlink" Target="consultantplus://offline/ref=99B68E0D1A88A6FB2EAFA214632529251DB44B6E99B62622B92AE161256FB11F5BDFD9235E5E01E1A17CCA4BFBD8FEF675193B3F3EFAB8D9iD09E" TargetMode="External"/><Relationship Id="rId33" Type="http://schemas.openxmlformats.org/officeDocument/2006/relationships/hyperlink" Target="consultantplus://offline/ref=99B68E0D1A88A6FB2EAFA214632529251DB44B6E99B62622B92AE161256FB11F5BDFD9235E5E00E5AD7CCA4BFBD8FEF675193B3F3EFAB8D9iD09E" TargetMode="External"/><Relationship Id="rId38" Type="http://schemas.openxmlformats.org/officeDocument/2006/relationships/hyperlink" Target="consultantplus://offline/ref=99B68E0D1A88A6FB2EAFA214632529251DB44B6E99B62622B92AE161256FB11F5BDFD9235E5E01E0AE7CCA4BFBD8FEF675193B3F3EFAB8D9iD09E" TargetMode="External"/><Relationship Id="rId46" Type="http://schemas.openxmlformats.org/officeDocument/2006/relationships/hyperlink" Target="consultantplus://offline/ref=99B68E0D1A88A6FB2EAFA214632529251DB44B6E99B62622B92AE161256FB11F5BDFD9235E5E00E6A07CCA4BFBD8FEF675193B3F3EFAB8D9iD09E" TargetMode="External"/><Relationship Id="rId59" Type="http://schemas.openxmlformats.org/officeDocument/2006/relationships/hyperlink" Target="consultantplus://offline/ref=99B68E0D1A88A6FB2EAFA214632529251DB44B6E99B62622B92AE161256FB11F5BDFD9235E5E02E4A17CCA4BFBD8FEF675193B3F3EFAB8D9iD09E" TargetMode="External"/><Relationship Id="rId67" Type="http://schemas.openxmlformats.org/officeDocument/2006/relationships/hyperlink" Target="consultantplus://offline/ref=99B68E0D1A88A6FB2EAFA214632529251DB44B6E99B62622B92AE161256FB11F5BDFD9235E5E01E2AB7CCA4BFBD8FEF675193B3F3EFAB8D9iD09E" TargetMode="External"/><Relationship Id="rId103" Type="http://schemas.openxmlformats.org/officeDocument/2006/relationships/fontTable" Target="fontTable.xml"/><Relationship Id="rId20" Type="http://schemas.openxmlformats.org/officeDocument/2006/relationships/hyperlink" Target="consultantplus://offline/ref=99B68E0D1A88A6FB2EAFA214632529251CB7406C98B62622B92AE161256FB11F5BDFD9235E5E00EDAB7CCA4BFBD8FEF675193B3F3EFAB8D9iD09E" TargetMode="External"/><Relationship Id="rId41" Type="http://schemas.openxmlformats.org/officeDocument/2006/relationships/hyperlink" Target="consultantplus://offline/ref=99B68E0D1A88A6FB2EAFA214632529251DB44B6E99B62622B92AE161256FB11F5BDFD9235E5E01E2AB7CCA4BFBD8FEF675193B3F3EFAB8D9iD09E" TargetMode="External"/><Relationship Id="rId54" Type="http://schemas.openxmlformats.org/officeDocument/2006/relationships/hyperlink" Target="consultantplus://offline/ref=99B68E0D1A88A6FB2EAFA214632529251DB44B6E99B62622B92AE161256FB11F5BDFD9235E5E01E2AB7CCA4BFBD8FEF675193B3F3EFAB8D9iD09E" TargetMode="External"/><Relationship Id="rId62" Type="http://schemas.openxmlformats.org/officeDocument/2006/relationships/hyperlink" Target="consultantplus://offline/ref=99B68E0D1A88A6FB2EAFA214632529251DB44B6E99B62622B92AE161256FB11F5BDFD9235E5E00E2AD7CCA4BFBD8FEF675193B3F3EFAB8D9iD09E" TargetMode="External"/><Relationship Id="rId70" Type="http://schemas.openxmlformats.org/officeDocument/2006/relationships/hyperlink" Target="consultantplus://offline/ref=99B68E0D1A88A6FB2EAFA214632529251DB44B6E99B62622B92AE161256FB11F5BDFD9235E5E02E4A17CCA4BFBD8FEF675193B3F3EFAB8D9iD09E" TargetMode="External"/><Relationship Id="rId75" Type="http://schemas.openxmlformats.org/officeDocument/2006/relationships/hyperlink" Target="consultantplus://offline/ref=99B68E0D1A88A6FB2EAFA214632529251DB44B6E99B62622B92AE161256FB11F5BDFD9235E5E03E4A87CCA4BFBD8FEF675193B3F3EFAB8D9iD09E" TargetMode="External"/><Relationship Id="rId83" Type="http://schemas.openxmlformats.org/officeDocument/2006/relationships/hyperlink" Target="consultantplus://offline/ref=99B68E0D1A88A6FB2EAFA214632529251DB44B6E99B62622B92AE161256FB11F5BDFD9235E5E01E2AB7CCA4BFBD8FEF675193B3F3EFAB8D9iD09E" TargetMode="External"/><Relationship Id="rId88" Type="http://schemas.openxmlformats.org/officeDocument/2006/relationships/hyperlink" Target="consultantplus://offline/ref=99B68E0D1A88A6FB2EAFA214632529251DB44B6E99B62622B92AE161256FB11F5BDFD9235E5E03E6A97CCA4BFBD8FEF675193B3F3EFAB8D9iD09E" TargetMode="External"/><Relationship Id="rId91" Type="http://schemas.openxmlformats.org/officeDocument/2006/relationships/hyperlink" Target="consultantplus://offline/ref=99B68E0D1A88A6FB2EAFA214632529251DB44B6E99B62622B92AE161256FB11F5BDFD9235E5E03E1AF7CCA4BFBD8FEF675193B3F3EFAB8D9iD09E" TargetMode="External"/><Relationship Id="rId96" Type="http://schemas.openxmlformats.org/officeDocument/2006/relationships/hyperlink" Target="consultantplus://offline/ref=99B68E0D1A88A6FB2EAFA214632529251DB44B6E99B62622B92AE161256FB11F5BDFD9235E5E01E1A17CCA4BFBD8FEF675193B3F3EFAB8D9iD09E" TargetMode="External"/><Relationship Id="rId1" Type="http://schemas.openxmlformats.org/officeDocument/2006/relationships/styles" Target="styles.xml"/><Relationship Id="rId6" Type="http://schemas.openxmlformats.org/officeDocument/2006/relationships/hyperlink" Target="consultantplus://offline/ref=99B68E0D1A88A6FB2EAFA214632529251DB44B6E99B62622B92AE161256FB11F5BDFD9235E5E01E1AD7CCA4BFBD8FEF675193B3F3EFAB8D9iD09E" TargetMode="External"/><Relationship Id="rId15" Type="http://schemas.openxmlformats.org/officeDocument/2006/relationships/hyperlink" Target="consultantplus://offline/ref=99B68E0D1A88A6FB2EAFA214632529251DB748699EBC2622B92AE161256FB11F5BDFD9235E5E00E2AC7CCA4BFBD8FEF675193B3F3EFAB8D9iD09E" TargetMode="External"/><Relationship Id="rId23" Type="http://schemas.openxmlformats.org/officeDocument/2006/relationships/hyperlink" Target="consultantplus://offline/ref=99B68E0D1A88A6FB2EAFA214632529251DB44B6E99B62622B92AE161256FB11F5BDFD9235E5E00E5AD7CCA4BFBD8FEF675193B3F3EFAB8D9iD09E" TargetMode="External"/><Relationship Id="rId28" Type="http://schemas.openxmlformats.org/officeDocument/2006/relationships/hyperlink" Target="consultantplus://offline/ref=99B68E0D1A88A6FB2EAFA214632529251DB44B6E99B62622B92AE161256FB11F5BDFD9235E5E00E2AD7CCA4BFBD8FEF675193B3F3EFAB8D9iD09E" TargetMode="External"/><Relationship Id="rId36" Type="http://schemas.openxmlformats.org/officeDocument/2006/relationships/hyperlink" Target="consultantplus://offline/ref=99B68E0D1A88A6FB2EAFA214632529251DB44B6E99B62622B92AE161256FB11F5BDFD9235E5E01E1A17CCA4BFBD8FEF675193B3F3EFAB8D9iD09E" TargetMode="External"/><Relationship Id="rId49" Type="http://schemas.openxmlformats.org/officeDocument/2006/relationships/hyperlink" Target="consultantplus://offline/ref=99B68E0D1A88A6FB2EAFA214632529251DB44B6E99B62622B92AE161256FB11F5BDFD9235E5E03E1AF7CCA4BFBD8FEF675193B3F3EFAB8D9iD09E" TargetMode="External"/><Relationship Id="rId57" Type="http://schemas.openxmlformats.org/officeDocument/2006/relationships/hyperlink" Target="consultantplus://offline/ref=99B68E0D1A88A6FB2EAFA214632529251DB44B6E99B62622B92AE161256FB11F5BDFD9235E5E00E5AC7CCA4BFBD8FEF675193B3F3EFAB8D9iD09E" TargetMode="External"/><Relationship Id="rId10" Type="http://schemas.openxmlformats.org/officeDocument/2006/relationships/hyperlink" Target="consultantplus://offline/ref=99B68E0D1A88A6FB2EAFA214632529251DB44B6E99B62622B92AE161256FB11F5BDFD9235E5E00E5AC7CCA4BFBD8FEF675193B3F3EFAB8D9iD09E" TargetMode="External"/><Relationship Id="rId31" Type="http://schemas.openxmlformats.org/officeDocument/2006/relationships/hyperlink" Target="consultantplus://offline/ref=99B68E0D1A88A6FB2EAFA214632529251DB44B6E99B62622B92AE161256FB11F5BDFD9235E5E01E1A17CCA4BFBD8FEF675193B3F3EFAB8D9iD09E" TargetMode="External"/><Relationship Id="rId44" Type="http://schemas.openxmlformats.org/officeDocument/2006/relationships/hyperlink" Target="consultantplus://offline/ref=99B68E0D1A88A6FB2EAFA214632529251DB44B6E99B62622B92AE161256FB11F5BDFD9235E5E01E1A17CCA4BFBD8FEF675193B3F3EFAB8D9iD09E" TargetMode="External"/><Relationship Id="rId52" Type="http://schemas.openxmlformats.org/officeDocument/2006/relationships/hyperlink" Target="consultantplus://offline/ref=99B68E0D1A88A6FB2EAFA214632529251DB44B6E99B62622B92AE161256FB11F5BDFD9235E5E00ECA97CCA4BFBD8FEF675193B3F3EFAB8D9iD09E" TargetMode="External"/><Relationship Id="rId60" Type="http://schemas.openxmlformats.org/officeDocument/2006/relationships/hyperlink" Target="consultantplus://offline/ref=99B68E0D1A88A6FB2EAFA214632529251DB44B6E99B62622B92AE161256FB11F5BDFD9235E5E02E4A17CCA4BFBD8FEF675193B3F3EFAB8D9iD09E" TargetMode="External"/><Relationship Id="rId65" Type="http://schemas.openxmlformats.org/officeDocument/2006/relationships/hyperlink" Target="consultantplus://offline/ref=99B68E0D1A88A6FB2EAFA214632529251DB44B6E99B62622B92AE161256FB11F5BDFD9235E5E03E6A97CCA4BFBD8FEF675193B3F3EFAB8D9iD09E" TargetMode="External"/><Relationship Id="rId73" Type="http://schemas.openxmlformats.org/officeDocument/2006/relationships/hyperlink" Target="consultantplus://offline/ref=99B68E0D1A88A6FB2EAFA214632529251DB44B6E99B62622B92AE161256FB11F5BDFD9235E5E01E3AA7CCA4BFBD8FEF675193B3F3EFAB8D9iD09E" TargetMode="External"/><Relationship Id="rId78" Type="http://schemas.openxmlformats.org/officeDocument/2006/relationships/hyperlink" Target="consultantplus://offline/ref=99B68E0D1A88A6FB2EAFA214632529251DB44B6E99B62622B92AE161256FB11F5BDFD9235E5E00ECAA7CCA4BFBD8FEF675193B3F3EFAB8D9iD09E" TargetMode="External"/><Relationship Id="rId81" Type="http://schemas.openxmlformats.org/officeDocument/2006/relationships/hyperlink" Target="consultantplus://offline/ref=99B68E0D1A88A6FB2EAFA214632529251DB44B6E99B62622B92AE161256FB11F5BDFD9235E5E01E1A17CCA4BFBD8FEF675193B3F3EFAB8D9iD09E" TargetMode="External"/><Relationship Id="rId86" Type="http://schemas.openxmlformats.org/officeDocument/2006/relationships/hyperlink" Target="consultantplus://offline/ref=99B68E0D1A88A6FB2EAFA214632529251DB44B6E99B62622B92AE161256FB11F5BDFD9235E5E03E6A97CCA4BFBD8FEF675193B3F3EFAB8D9iD09E" TargetMode="External"/><Relationship Id="rId94" Type="http://schemas.openxmlformats.org/officeDocument/2006/relationships/hyperlink" Target="consultantplus://offline/ref=99B68E0D1A88A6FB2EAFA214632529251DB44B6E99B62622B92AE161256FB11F5BDFD9235E5E00E5AC7CCA4BFBD8FEF675193B3F3EFAB8D9iD09E" TargetMode="External"/><Relationship Id="rId99" Type="http://schemas.openxmlformats.org/officeDocument/2006/relationships/hyperlink" Target="consultantplus://offline/ref=99B68E0D1A88A6FB2EAFA214632529251DB44B6E99B62622B92AE161256FB11F5BDFD9235E5E02E4A17CCA4BFBD8FEF675193B3F3EFAB8D9iD09E" TargetMode="External"/><Relationship Id="rId101" Type="http://schemas.openxmlformats.org/officeDocument/2006/relationships/hyperlink" Target="consultantplus://offline/ref=99B68E0D1A88A6FB2EAFA214632529251DB44B6E99B62622B92AE161256FB11F5BDFD9235E5E02E4A17CCA4BFBD8FEF675193B3F3EFAB8D9iD09E" TargetMode="External"/><Relationship Id="rId4" Type="http://schemas.openxmlformats.org/officeDocument/2006/relationships/webSettings" Target="webSettings.xml"/><Relationship Id="rId9" Type="http://schemas.openxmlformats.org/officeDocument/2006/relationships/hyperlink" Target="consultantplus://offline/ref=99B68E0D1A88A6FB2EAFA214632529251DB44B6E99B62622B92AE161256FB11F5BDFD9235E5E01E2A97CCA4BFBD8FEF675193B3F3EFAB8D9iD09E" TargetMode="External"/><Relationship Id="rId13" Type="http://schemas.openxmlformats.org/officeDocument/2006/relationships/hyperlink" Target="consultantplus://offline/ref=99B68E0D1A88A6FB2EAFA214632529251DB44B6E99B62622B92AE161256FB11F5BDFD9235E5E00E2AD7CCA4BFBD8FEF675193B3F3EFAB8D9iD09E" TargetMode="External"/><Relationship Id="rId18" Type="http://schemas.openxmlformats.org/officeDocument/2006/relationships/hyperlink" Target="consultantplus://offline/ref=99B68E0D1A88A6FB2EAFA214632529251DB748699EBB2622B92AE161256FB11F5BDFD9235E5E01EDAD7CCA4BFBD8FEF675193B3F3EFAB8D9iD09E" TargetMode="External"/><Relationship Id="rId39" Type="http://schemas.openxmlformats.org/officeDocument/2006/relationships/hyperlink" Target="consultantplus://offline/ref=99B68E0D1A88A6FB2EAFA214632529251DB44B6E99B62622B92AE161256FB11F5BDFD9235E5E01E3AE7CCA4BFBD8FEF675193B3F3EFAB8D9iD09E" TargetMode="External"/><Relationship Id="rId34" Type="http://schemas.openxmlformats.org/officeDocument/2006/relationships/hyperlink" Target="consultantplus://offline/ref=99B68E0D1A88A6FB2EAFA214632529251DB44B6E99B62622B92AE161256FB11F5BDFD9235E5E00E6A07CCA4BFBD8FEF675193B3F3EFAB8D9iD09E" TargetMode="External"/><Relationship Id="rId50" Type="http://schemas.openxmlformats.org/officeDocument/2006/relationships/hyperlink" Target="consultantplus://offline/ref=99B68E0D1A88A6FB2EAFA214632529251DB44B6E99B62622B92AE161256FB11F5BDFD9235E5E03E1AF7CCA4BFBD8FEF675193B3F3EFAB8D9iD09E" TargetMode="External"/><Relationship Id="rId55" Type="http://schemas.openxmlformats.org/officeDocument/2006/relationships/hyperlink" Target="consultantplus://offline/ref=99B68E0D1A88A6FB2EAFA214632529251DB44B6E99B62622B92AE161256FB11F5BDFD9235E5E00E5AC7CCA4BFBD8FEF675193B3F3EFAB8D9iD09E" TargetMode="External"/><Relationship Id="rId76" Type="http://schemas.openxmlformats.org/officeDocument/2006/relationships/hyperlink" Target="consultantplus://offline/ref=99B68E0D1A88A6FB2EAFA214632529251DB44B6E99B62622B92AE161256FB11F5BDFD9235E5E03E4A87CCA4BFBD8FEF675193B3F3EFAB8D9iD09E" TargetMode="External"/><Relationship Id="rId97" Type="http://schemas.openxmlformats.org/officeDocument/2006/relationships/hyperlink" Target="consultantplus://offline/ref=99B68E0D1A88A6FB2EAFA214632529251DB44B6E99B62622B92AE161256FB11F5BDFD9235E5E00E5AD7CCA4BFBD8FEF675193B3F3EFAB8D9iD09E" TargetMode="External"/><Relationship Id="rId104" Type="http://schemas.openxmlformats.org/officeDocument/2006/relationships/theme" Target="theme/theme1.xml"/><Relationship Id="rId7" Type="http://schemas.openxmlformats.org/officeDocument/2006/relationships/hyperlink" Target="consultantplus://offline/ref=99B68E0D1A88A6FB2EAFA214632529251DB44B6E99B62622B92AE161256FB11F5BDFD9235E5E01E0AE7CCA4BFBD8FEF675193B3F3EFAB8D9iD09E" TargetMode="External"/><Relationship Id="rId71" Type="http://schemas.openxmlformats.org/officeDocument/2006/relationships/hyperlink" Target="consultantplus://offline/ref=99B68E0D1A88A6FB2EAFA214632529251DB44B6E99B62622B92AE161256FB11F5BDFD9235E5E00E2AD7CCA4BFBD8FEF675193B3F3EFAB8D9iD09E" TargetMode="External"/><Relationship Id="rId92" Type="http://schemas.openxmlformats.org/officeDocument/2006/relationships/hyperlink" Target="consultantplus://offline/ref=99B68E0D1A88A6FB2EAFA214632529251DB44B6E99B62622B92AE161256FB11F5BDFD9235E5E00E2AD7CCA4BFBD8FEF675193B3F3EFAB8D9iD09E" TargetMode="External"/><Relationship Id="rId2" Type="http://schemas.microsoft.com/office/2007/relationships/stylesWithEffects" Target="stylesWithEffects.xml"/><Relationship Id="rId29" Type="http://schemas.openxmlformats.org/officeDocument/2006/relationships/hyperlink" Target="consultantplus://offline/ref=99B68E0D1A88A6FB2EAFA214632529251DB44B6E99B62622B92AE161256FB11F5BDFD9235E5E01E3AC7CCA4BFBD8FEF675193B3F3EFAB8D9iD09E" TargetMode="External"/><Relationship Id="rId24" Type="http://schemas.openxmlformats.org/officeDocument/2006/relationships/hyperlink" Target="consultantplus://offline/ref=99B68E0D1A88A6FB2EAFA214632529251DB44B6E99B62622B92AE161256FB11F5BDFD9235E5E03E6A97CCA4BFBD8FEF675193B3F3EFAB8D9iD09E" TargetMode="External"/><Relationship Id="rId40" Type="http://schemas.openxmlformats.org/officeDocument/2006/relationships/hyperlink" Target="consultantplus://offline/ref=99B68E0D1A88A6FB2EAFA214632529251DB44B6E99B62622B92AE161256FB11F5BDFD9235E5E01E2AB7CCA4BFBD8FEF675193B3F3EFAB8D9iD09E" TargetMode="External"/><Relationship Id="rId45" Type="http://schemas.openxmlformats.org/officeDocument/2006/relationships/hyperlink" Target="consultantplus://offline/ref=99B68E0D1A88A6FB2EAFA214632529251DB44B6E99B62622B92AE161256FB11F5BDFD9235E5E00E5AD7CCA4BFBD8FEF675193B3F3EFAB8D9iD09E" TargetMode="External"/><Relationship Id="rId66" Type="http://schemas.openxmlformats.org/officeDocument/2006/relationships/hyperlink" Target="consultantplus://offline/ref=99B68E0D1A88A6FB2EAFA214632529251DB44B6E99B62622B92AE161256FB11F5BDFD9235E5E03E6A97CCA4BFBD8FEF675193B3F3EFAB8D9iD09E" TargetMode="External"/><Relationship Id="rId87" Type="http://schemas.openxmlformats.org/officeDocument/2006/relationships/hyperlink" Target="consultantplus://offline/ref=99B68E0D1A88A6FB2EAFA214632529251DB44B6E99B62622B92AE161256FB11F5BDFD9235E5E00E5AD7CCA4BFBD8FEF675193B3F3EFAB8D9iD09E" TargetMode="External"/><Relationship Id="rId61" Type="http://schemas.openxmlformats.org/officeDocument/2006/relationships/hyperlink" Target="consultantplus://offline/ref=99B68E0D1A88A6FB2EAFA214632529251DB44B6E99B62622B92AE161256FB11F5BDFD9235E5E01E1A17CCA4BFBD8FEF675193B3F3EFAB8D9iD09E" TargetMode="External"/><Relationship Id="rId82" Type="http://schemas.openxmlformats.org/officeDocument/2006/relationships/hyperlink" Target="consultantplus://offline/ref=99B68E0D1A88A6FB2EAFA214632529251DB44B6E99B62622B92AE161256FB11F5BDFD9235E5E02E4A17CCA4BFBD8FEF675193B3F3EFAB8D9iD09E" TargetMode="External"/><Relationship Id="rId19" Type="http://schemas.openxmlformats.org/officeDocument/2006/relationships/hyperlink" Target="consultantplus://offline/ref=99B68E0D1A88A6FB2EAFA214632529251CB7406C98B62622B92AE161256FB11F5BDFD9235E5E00E6AF7CCA4BFBD8FEF675193B3F3EFAB8D9iD09E" TargetMode="External"/><Relationship Id="rId14" Type="http://schemas.openxmlformats.org/officeDocument/2006/relationships/hyperlink" Target="consultantplus://offline/ref=99B68E0D1A88A6FB2EAFA214632529251DB44B6E99B62622B92AE161256FB11F5BDFD9235E5E02E4A17CCA4BFBD8FEF675193B3F3EFAB8D9iD09E" TargetMode="External"/><Relationship Id="rId30" Type="http://schemas.openxmlformats.org/officeDocument/2006/relationships/hyperlink" Target="consultantplus://offline/ref=99B68E0D1A88A6FB2EAFA214632529251DB44B6E99B62622B92AE161256FB11F5BDFD9235E5E00ECA97CCA4BFBD8FEF675193B3F3EFAB8D9iD09E" TargetMode="External"/><Relationship Id="rId35" Type="http://schemas.openxmlformats.org/officeDocument/2006/relationships/hyperlink" Target="consultantplus://offline/ref=99B68E0D1A88A6FB2EAFA214632529251DB44B6E99B62622B92AE161256FB11F5BDFD9235E5E00E2AD7CCA4BFBD8FEF675193B3F3EFAB8D9iD09E" TargetMode="External"/><Relationship Id="rId56" Type="http://schemas.openxmlformats.org/officeDocument/2006/relationships/hyperlink" Target="consultantplus://offline/ref=99B68E0D1A88A6FB2EAFA214632529251DB5416E99BB2622B92AE161256FB11F5BDFD9235E5E01E2AD7CCA4BFBD8FEF675193B3F3EFAB8D9iD09E" TargetMode="External"/><Relationship Id="rId77" Type="http://schemas.openxmlformats.org/officeDocument/2006/relationships/hyperlink" Target="consultantplus://offline/ref=99B68E0D1A88A6FB2EAFA214632529251DB44B6E99B62622B92AE161256FB11F5BDFD9235E5E00ECAA7CCA4BFBD8FEF675193B3F3EFAB8D9iD09E" TargetMode="External"/><Relationship Id="rId100" Type="http://schemas.openxmlformats.org/officeDocument/2006/relationships/hyperlink" Target="consultantplus://offline/ref=99B68E0D1A88A6FB2EAFA214632529251DB7486C99BA2622B92AE161256FB11F5BDFD9235E5E09ECAA7CCA4BFBD8FEF675193B3F3EFAB8D9iD09E" TargetMode="External"/><Relationship Id="rId8" Type="http://schemas.openxmlformats.org/officeDocument/2006/relationships/hyperlink" Target="consultantplus://offline/ref=99B68E0D1A88A6FB2EAFA214632529251DB44B6E99B62622B92AE161256FB11F5BDFD9235E5E01E3AE7CCA4BFBD8FEF675193B3F3EFAB8D9iD09E" TargetMode="External"/><Relationship Id="rId51" Type="http://schemas.openxmlformats.org/officeDocument/2006/relationships/hyperlink" Target="consultantplus://offline/ref=99B68E0D1A88A6FB2EAFA214632529251DB44B6E99B62622B92AE161256FB11F5BDFD9235E5E01E1A17CCA4BFBD8FEF675193B3F3EFAB8D9iD09E" TargetMode="External"/><Relationship Id="rId72" Type="http://schemas.openxmlformats.org/officeDocument/2006/relationships/hyperlink" Target="consultantplus://offline/ref=99B68E0D1A88A6FB2EAFA214632529251DB44B6E99B62622B92AE161256FB11F5BDFD9235E5E03E1AF7CCA4BFBD8FEF675193B3F3EFAB8D9iD09E" TargetMode="External"/><Relationship Id="rId93" Type="http://schemas.openxmlformats.org/officeDocument/2006/relationships/hyperlink" Target="consultantplus://offline/ref=99B68E0D1A88A6FB2EAFA214632529251DB44B6E99B62622B92AE161256FB11F5BDFD9235E5E00E2AD7CCA4BFBD8FEF675193B3F3EFAB8D9iD09E" TargetMode="External"/><Relationship Id="rId98" Type="http://schemas.openxmlformats.org/officeDocument/2006/relationships/hyperlink" Target="consultantplus://offline/ref=99B68E0D1A88A6FB2EAFA214632529251DB44B6E99B62622B92AE161256FB11F5BDFD9235E5E03E1AF7CCA4BFBD8FEF675193B3F3EFAB8D9iD09E"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9349</Words>
  <Characters>53295</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1</cp:revision>
  <dcterms:created xsi:type="dcterms:W3CDTF">2021-02-12T04:52:00Z</dcterms:created>
  <dcterms:modified xsi:type="dcterms:W3CDTF">2021-02-12T04:52:00Z</dcterms:modified>
</cp:coreProperties>
</file>