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079" w:rsidRPr="00E41DE6" w:rsidRDefault="00DA2079" w:rsidP="00E41D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ИМУЩЕСТВЕННЫЕ НАЛОГИ ФИЗИЧЕСКИХ ЛИЦ: АНАЛИЗ ОСОБЕННОСТЕЙ</w:t>
      </w:r>
    </w:p>
    <w:p w:rsidR="00DA2079" w:rsidRPr="00E41DE6" w:rsidRDefault="00DA2079" w:rsidP="00E41D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УПЛАТЫ В СВЯЗИ С ПЕРЕХОДОМ НА ИСПОЛЬЗОВАНИЕ ЕДИНОГО</w:t>
      </w:r>
    </w:p>
    <w:p w:rsidR="00DA2079" w:rsidRPr="00E41DE6" w:rsidRDefault="00DA2079" w:rsidP="00E41D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НАЛОГОВОГО СЧЕТА В 2023 ГОДУ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 xml:space="preserve">В 2023 году одним из важных изменений в налогообложении физических лиц стал обязательный переход к уплате всех налогов на единый налоговый счет (ЕНС) и соответствующая модернизация личного кабинета налогоплательщика. 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113F">
        <w:rPr>
          <w:rFonts w:ascii="Times New Roman" w:hAnsi="Times New Roman" w:cs="Times New Roman"/>
          <w:sz w:val="24"/>
          <w:szCs w:val="24"/>
          <w:u w:val="single"/>
        </w:rPr>
        <w:t>К имущественным налогам</w:t>
      </w:r>
      <w:r w:rsidRPr="00E41DE6">
        <w:rPr>
          <w:rFonts w:ascii="Times New Roman" w:hAnsi="Times New Roman" w:cs="Times New Roman"/>
          <w:sz w:val="24"/>
          <w:szCs w:val="24"/>
        </w:rPr>
        <w:t xml:space="preserve">, уплачиваемым физическими лицами, относятся налог на </w:t>
      </w:r>
      <w:r w:rsidRPr="0075113F">
        <w:rPr>
          <w:rFonts w:ascii="Times New Roman" w:hAnsi="Times New Roman" w:cs="Times New Roman"/>
          <w:sz w:val="24"/>
          <w:szCs w:val="24"/>
          <w:u w:val="single"/>
        </w:rPr>
        <w:t>имущество физических лиц, земельный налог и транспортный налог</w:t>
      </w:r>
      <w:r w:rsidRPr="00E41DE6">
        <w:rPr>
          <w:rFonts w:ascii="Times New Roman" w:hAnsi="Times New Roman" w:cs="Times New Roman"/>
          <w:sz w:val="24"/>
          <w:szCs w:val="24"/>
        </w:rPr>
        <w:t>. Имущественные налоги физических лиц исчисляются налоговыми органами на основании данных соответствующих государственных реестров. Уведомление с расчетом налога и квитанция с реквизитами для уплаты этих налогов направлялись физическим лицам по почте на бумажном носителе, а также отображались в личном кабинете налогоплательщика - физического лица. Кроме того, уже несколько лет в личном кабинете сумма всех налогов отображалась единым значением. Исполнить свои обязательства, исчисленные ИФНС, физические лица могли в "один клик", т.е. единым платежом, однако это было не обязательно. Можно было открыть налоговое уведомление и оплатить каждый налог отдельно, для этого в уведомлении после расчета каждого имущественного налога были приведены QR-код и банковские реквизиты. Таким образом, можно было оплатить те начисления, с которыми физическое лицо согласно, остальные оставить до выяснения правильности начислений.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 xml:space="preserve">С 1 января 2023 г. уплата всех налогов физического лица будет производиться на единый налоговый счет налогоплательщика, согласно </w:t>
      </w:r>
      <w:hyperlink r:id="rId4">
        <w:r w:rsidRPr="00E41DE6">
          <w:rPr>
            <w:rFonts w:ascii="Times New Roman" w:hAnsi="Times New Roman" w:cs="Times New Roman"/>
            <w:color w:val="0000FF"/>
            <w:sz w:val="24"/>
            <w:szCs w:val="24"/>
          </w:rPr>
          <w:t>ст. 11.3</w:t>
        </w:r>
      </w:hyperlink>
      <w:r w:rsidRPr="00E41DE6">
        <w:rPr>
          <w:rFonts w:ascii="Times New Roman" w:hAnsi="Times New Roman" w:cs="Times New Roman"/>
          <w:sz w:val="24"/>
          <w:szCs w:val="24"/>
        </w:rPr>
        <w:t xml:space="preserve"> Налогового кодекса РФ (НК РФ). Это означает, что все налоги физического лица будут уплачиваться по одним и тем же реквизитам. Единственным персональным признаком платежа будет индивидуальный номер налогоплательщика (ИНН). Полученные налоговые платежи ИФНС самостоятельно будет распределять между имеющимися обязательствами налогоплательщика, формируя единое сальдо на ЕНС налогоплательщика.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Важно, что физические лица, осуществляющие предпринимательскую деятельность с применением того или иного режима налогообложения, будут иметь один ЕНС, так как при регистрации физического лица в качестве индивидуального предпринимателя его ИНН остается тем же, который был присвоен физическому лицу.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 xml:space="preserve">Таким образом, имущественные налоги физических лиц и налоги, уплачиваемые, например, индивидуальным предпринимателем (ИП), применяющим упрощенную систему налогообложения (УСН), будут уплачиваться по одним и тем же реквизитам. На данный момент только уплата налога на профессиональный доход (НПД) (специальный налоговый режим для </w:t>
      </w:r>
      <w:proofErr w:type="spellStart"/>
      <w:r w:rsidRPr="00E41DE6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E41DE6">
        <w:rPr>
          <w:rFonts w:ascii="Times New Roman" w:hAnsi="Times New Roman" w:cs="Times New Roman"/>
          <w:sz w:val="24"/>
          <w:szCs w:val="24"/>
        </w:rPr>
        <w:t xml:space="preserve">) осуществляется по отдельным реквизитам и не попадает на ЕНС, но у </w:t>
      </w:r>
      <w:proofErr w:type="spellStart"/>
      <w:r w:rsidRPr="00E41DE6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E41DE6">
        <w:rPr>
          <w:rFonts w:ascii="Times New Roman" w:hAnsi="Times New Roman" w:cs="Times New Roman"/>
          <w:sz w:val="24"/>
          <w:szCs w:val="24"/>
        </w:rPr>
        <w:t xml:space="preserve"> есть право перейти к уплате НПД на единый налоговый счет.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2079" w:rsidRPr="00E41DE6" w:rsidRDefault="00DA2079" w:rsidP="00E41DE6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1. Преимущества применения ЕНС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1. Платить налоги просто и без ошибок: один платеж в месяц: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- универсальные реквизиты для всех налогов;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- отсутствие ошибочных платежей;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- экономия времени и трудозатрат.</w:t>
      </w:r>
    </w:p>
    <w:p w:rsidR="00DA2079" w:rsidRPr="00E41DE6" w:rsidRDefault="0043423A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2</w:t>
      </w:r>
      <w:r w:rsidR="00DA2079" w:rsidRPr="00E41DE6">
        <w:rPr>
          <w:rFonts w:ascii="Times New Roman" w:hAnsi="Times New Roman" w:cs="Times New Roman"/>
          <w:sz w:val="24"/>
          <w:szCs w:val="24"/>
        </w:rPr>
        <w:t>. Прозрачные расчеты с бюджетом: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- государство самостоятельно распределяет платежи по налогам и бюджетам;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- единое сальдо расчетов с бюджетом (баланс);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- один день на снятие ареста с банковского счета;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- пени рассчитываются на сумму отрицательного сальдо, а не по каждому налогу.</w:t>
      </w:r>
    </w:p>
    <w:p w:rsidR="00DA2079" w:rsidRPr="00E41DE6" w:rsidRDefault="0043423A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3</w:t>
      </w:r>
      <w:r w:rsidR="00DA2079" w:rsidRPr="00E41DE6">
        <w:rPr>
          <w:rFonts w:ascii="Times New Roman" w:hAnsi="Times New Roman" w:cs="Times New Roman"/>
          <w:sz w:val="24"/>
          <w:szCs w:val="24"/>
        </w:rPr>
        <w:t xml:space="preserve">. Переплату можно </w:t>
      </w:r>
      <w:r w:rsidRPr="00E41DE6">
        <w:rPr>
          <w:rFonts w:ascii="Times New Roman" w:hAnsi="Times New Roman" w:cs="Times New Roman"/>
          <w:sz w:val="24"/>
          <w:szCs w:val="24"/>
        </w:rPr>
        <w:t>вернуть или поделиться с другом</w:t>
      </w:r>
      <w:r w:rsidR="00DA2079" w:rsidRPr="00E41DE6">
        <w:rPr>
          <w:rFonts w:ascii="Times New Roman" w:hAnsi="Times New Roman" w:cs="Times New Roman"/>
          <w:sz w:val="24"/>
          <w:szCs w:val="24"/>
        </w:rPr>
        <w:t>: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- один день для возврата (поручение на возврат будет направлено в Казначейство России не позднее дня, следующего за днем после получения заявления от налогоплательщика);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lastRenderedPageBreak/>
        <w:t>- отсутствие срока давности образования переплаты (существующее сейчас ограничение в три года на возврат/зачет исключается для сумм, уплаченных/зачтенных после 2020 г.);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 xml:space="preserve">- отсутствие задолженностей и мер взыскания при наличии переплаты (не может возникнуть ситуация, когда по одному налогу переплата, а </w:t>
      </w:r>
      <w:proofErr w:type="gramStart"/>
      <w:r w:rsidRPr="00E41DE6">
        <w:rPr>
          <w:rFonts w:ascii="Times New Roman" w:hAnsi="Times New Roman" w:cs="Times New Roman"/>
          <w:sz w:val="24"/>
          <w:szCs w:val="24"/>
        </w:rPr>
        <w:t>по другому</w:t>
      </w:r>
      <w:proofErr w:type="gramEnd"/>
      <w:r w:rsidRPr="00E41DE6">
        <w:rPr>
          <w:rFonts w:ascii="Times New Roman" w:hAnsi="Times New Roman" w:cs="Times New Roman"/>
          <w:sz w:val="24"/>
          <w:szCs w:val="24"/>
        </w:rPr>
        <w:t xml:space="preserve"> - недоимка, на которую начисляются пени);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- возможность зачисления "свободных" денежных средств по заявлению налогоплательщика на Единый налоговый платеж (ЕНП) другого лица.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2079" w:rsidRPr="00E41DE6" w:rsidRDefault="00DA2079" w:rsidP="00E41DE6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2. Изменения для физических лиц с введением ЕНС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Рассмотрим, что из этих преимуществ коснется уплаты имущественных налогов физическими лицами.</w:t>
      </w:r>
    </w:p>
    <w:p w:rsidR="007016D5" w:rsidRPr="00E41DE6" w:rsidRDefault="007016D5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7016D5">
        <w:rPr>
          <w:rFonts w:ascii="Times New Roman" w:hAnsi="Times New Roman" w:cs="Times New Roman"/>
          <w:sz w:val="24"/>
          <w:szCs w:val="24"/>
        </w:rPr>
        <w:t xml:space="preserve">. </w:t>
      </w:r>
      <w:r w:rsidRPr="007016D5">
        <w:rPr>
          <w:rFonts w:ascii="Times New Roman" w:hAnsi="Times New Roman" w:cs="Times New Roman"/>
          <w:i/>
          <w:sz w:val="24"/>
          <w:szCs w:val="24"/>
        </w:rPr>
        <w:t>Перестает существовать ситуация одновременной переплаты и недоимки по налогам.</w:t>
      </w:r>
      <w:r w:rsidRPr="007016D5">
        <w:rPr>
          <w:rFonts w:ascii="Times New Roman" w:hAnsi="Times New Roman" w:cs="Times New Roman"/>
          <w:sz w:val="24"/>
          <w:szCs w:val="24"/>
        </w:rPr>
        <w:t xml:space="preserve"> Представить ситуацию переплаты физического лица по имущественным налогам сложно, так как они исчисляются ФНС и уплачиваются по реквизитам, указанным ФНС. Однако существовали ситуации, когда налоги ошибочно исчислялись налоговыми органами. В практике приходилось сталкиваться с ситуациями, когда физическое лицо получало, например, транспортный налог к уплате на угнанное транспортное средство, находящееся в розыске, что противоречит подп. 7 п. 2 ст. 358 Налогового кодекса РФ (НК РФ). Для того чтобы оспорить данное начисление, необходимо было предоставить справку из МВД об угоне, что требует времени. С применением ЕНС будет невозможно оплатить одни налоги и отложить оплату других, пока идет выяснение правомерности их начисления. По истечении срока уплаты недоимка будет пропорционально распределена по всем обязательствам налогоплательщика, в том числе по обязательствам индивидуального предпринимателя.</w:t>
      </w:r>
    </w:p>
    <w:p w:rsidR="00DA2079" w:rsidRPr="00E41DE6" w:rsidRDefault="007016D5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A2079" w:rsidRPr="00E41DE6">
        <w:rPr>
          <w:rFonts w:ascii="Times New Roman" w:hAnsi="Times New Roman" w:cs="Times New Roman"/>
          <w:sz w:val="24"/>
          <w:szCs w:val="24"/>
        </w:rPr>
        <w:t xml:space="preserve">. </w:t>
      </w:r>
      <w:r w:rsidR="00DA2079" w:rsidRPr="00E41DE6">
        <w:rPr>
          <w:rFonts w:ascii="Times New Roman" w:hAnsi="Times New Roman" w:cs="Times New Roman"/>
          <w:i/>
          <w:sz w:val="24"/>
          <w:szCs w:val="24"/>
        </w:rPr>
        <w:t>Возможность распоряжаться переплатой,</w:t>
      </w:r>
      <w:r w:rsidR="00DA2079" w:rsidRPr="00E41DE6">
        <w:rPr>
          <w:rFonts w:ascii="Times New Roman" w:hAnsi="Times New Roman" w:cs="Times New Roman"/>
          <w:sz w:val="24"/>
          <w:szCs w:val="24"/>
        </w:rPr>
        <w:t xml:space="preserve"> закрывая свои задолженности по другим налогам, а также налогам третьих лиц, - это безусловное преимущество как для юридических, так и для физических лиц. До введения ЕНС переплату сначала нужно было вернуть. Этот процесс занимал до одного месяца в соответствии со </w:t>
      </w:r>
      <w:hyperlink r:id="rId5">
        <w:r w:rsidR="00DA2079" w:rsidRPr="00E41DE6">
          <w:rPr>
            <w:rFonts w:ascii="Times New Roman" w:hAnsi="Times New Roman" w:cs="Times New Roman"/>
            <w:color w:val="0000FF"/>
            <w:sz w:val="24"/>
            <w:szCs w:val="24"/>
          </w:rPr>
          <w:t>ст. 78</w:t>
        </w:r>
      </w:hyperlink>
      <w:r w:rsidR="00DA2079" w:rsidRPr="00E41DE6">
        <w:rPr>
          <w:rFonts w:ascii="Times New Roman" w:hAnsi="Times New Roman" w:cs="Times New Roman"/>
          <w:sz w:val="24"/>
          <w:szCs w:val="24"/>
        </w:rPr>
        <w:t xml:space="preserve"> НК РФ, а затем уже этими деньгами можно было оплатить другой налог. Теперь переплатой на своем счете можно распоряжаться почти как средствами на банковском счете, а срок возврата переплаты, согласно новому порядку, составляет сутки.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2079" w:rsidRPr="00E41DE6" w:rsidRDefault="00DA2079" w:rsidP="00E41DE6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3. Общие изменения в исчислении имущественных налогов</w:t>
      </w:r>
    </w:p>
    <w:p w:rsidR="00DA2079" w:rsidRPr="00E41DE6" w:rsidRDefault="00DA2079" w:rsidP="00E41D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физических лиц в 2023 г.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Рассмотрим нововведения, которые произошли в последнее время в порядке исчисления имущественных налогов, помимо введения ЕНС.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2079" w:rsidRPr="00E41DE6" w:rsidRDefault="00DA2079" w:rsidP="00E41DE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3.1. Налог на имущество физических лиц и земельный налог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 xml:space="preserve">Основные изменения связаны с оценкой кадастровой стоимости. Налог на имущество и земельный налог являются местными налогами: согласно </w:t>
      </w:r>
      <w:hyperlink r:id="rId6">
        <w:r w:rsidRPr="00E41DE6">
          <w:rPr>
            <w:rFonts w:ascii="Times New Roman" w:hAnsi="Times New Roman" w:cs="Times New Roman"/>
            <w:color w:val="0000FF"/>
            <w:sz w:val="24"/>
            <w:szCs w:val="24"/>
          </w:rPr>
          <w:t>ст. 15</w:t>
        </w:r>
      </w:hyperlink>
      <w:r w:rsidRPr="00E41DE6">
        <w:rPr>
          <w:rFonts w:ascii="Times New Roman" w:hAnsi="Times New Roman" w:cs="Times New Roman"/>
          <w:sz w:val="24"/>
          <w:szCs w:val="24"/>
        </w:rPr>
        <w:t xml:space="preserve"> НК РФ это означает, что отдельные элементы налогообложения устанавливаются на уровне муниципальных образований. Так, пересмотр кадастровой стоимости недвижимого имущества и земли, которая является налоговой базой для рассматриваемых налогов, до 2022 г. производился по решению региональных властей. Кадастровую оценку проводили каждые 3 - 5 лет в субъектах Федерации, в городах федерального значения периодичность составляла 2 - 5 лет.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 xml:space="preserve">С 2022 года был принят единый порядок проведения кадастровой оценки земельных участков - каждые четыре года, а в городах федерального значения пересмотр кадастровой стоимости земли можно производить каждые два года по решению городских властей. В 2022 году оценка земельных участков должна была быть проведена во всех регионах, независимо от того, когда кадастровая оценка проводилась в последний раз. На 2023 год запланирована единовременная </w:t>
      </w:r>
      <w:r w:rsidRPr="00E41DE6">
        <w:rPr>
          <w:rFonts w:ascii="Times New Roman" w:hAnsi="Times New Roman" w:cs="Times New Roman"/>
          <w:sz w:val="24"/>
          <w:szCs w:val="24"/>
        </w:rPr>
        <w:lastRenderedPageBreak/>
        <w:t>кадастровая оценка зданий, сооружений, помещений, незавершенных объек</w:t>
      </w:r>
      <w:r w:rsidR="007016D5">
        <w:rPr>
          <w:rFonts w:ascii="Times New Roman" w:hAnsi="Times New Roman" w:cs="Times New Roman"/>
          <w:sz w:val="24"/>
          <w:szCs w:val="24"/>
        </w:rPr>
        <w:t xml:space="preserve">тов, </w:t>
      </w:r>
      <w:proofErr w:type="spellStart"/>
      <w:r w:rsidR="007016D5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="007016D5">
        <w:rPr>
          <w:rFonts w:ascii="Times New Roman" w:hAnsi="Times New Roman" w:cs="Times New Roman"/>
          <w:sz w:val="24"/>
          <w:szCs w:val="24"/>
        </w:rPr>
        <w:t>-мест</w:t>
      </w:r>
      <w:r w:rsidRPr="00E41DE6">
        <w:rPr>
          <w:rFonts w:ascii="Times New Roman" w:hAnsi="Times New Roman" w:cs="Times New Roman"/>
          <w:sz w:val="24"/>
          <w:szCs w:val="24"/>
        </w:rPr>
        <w:t>.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Кадастровая стоимость соответствующих объектов определяет налоговую базу земельного налога и налога на имущество, ее изменение в 2022 г. должно было отразиться на сумме налога, исчисленного за 2023 г. Однако было принято решение, что в 2023 г. налоговая база при расчете налога на имущество физических лиц не может превышать кадастровую стоимость на 1 января 2022 г., это же касается и налоговой базы по земельному налогу.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При исчислении налога на имущество физических лиц и земельного налога налоговой базой является кадастровая стоимость имущества (недвижимости или земельного участка), указанная в ЕГРН по состоянию на 1-е число налогового периода, которым является календарный год (</w:t>
      </w:r>
      <w:hyperlink r:id="rId7">
        <w:r w:rsidRPr="00E41DE6">
          <w:rPr>
            <w:rFonts w:ascii="Times New Roman" w:hAnsi="Times New Roman" w:cs="Times New Roman"/>
            <w:color w:val="0000FF"/>
            <w:sz w:val="24"/>
            <w:szCs w:val="24"/>
          </w:rPr>
          <w:t>п. 2 ст. 375</w:t>
        </w:r>
      </w:hyperlink>
      <w:r w:rsidRPr="00E41DE6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E41DE6">
          <w:rPr>
            <w:rFonts w:ascii="Times New Roman" w:hAnsi="Times New Roman" w:cs="Times New Roman"/>
            <w:color w:val="0000FF"/>
            <w:sz w:val="24"/>
            <w:szCs w:val="24"/>
          </w:rPr>
          <w:t>п. 1 ст. 391</w:t>
        </w:r>
      </w:hyperlink>
      <w:r w:rsidRPr="00E41DE6">
        <w:rPr>
          <w:rFonts w:ascii="Times New Roman" w:hAnsi="Times New Roman" w:cs="Times New Roman"/>
          <w:sz w:val="24"/>
          <w:szCs w:val="24"/>
        </w:rPr>
        <w:t xml:space="preserve"> НК РФ). Федеральным </w:t>
      </w:r>
      <w:hyperlink r:id="rId9">
        <w:r w:rsidRPr="00E41DE6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E41DE6">
        <w:rPr>
          <w:rFonts w:ascii="Times New Roman" w:hAnsi="Times New Roman" w:cs="Times New Roman"/>
          <w:sz w:val="24"/>
          <w:szCs w:val="24"/>
        </w:rPr>
        <w:t xml:space="preserve"> от 23 марта 2022 г. N 67-ФЗ в Налоговый </w:t>
      </w:r>
      <w:hyperlink r:id="rId10">
        <w:r w:rsidRPr="00E41DE6">
          <w:rPr>
            <w:rFonts w:ascii="Times New Roman" w:hAnsi="Times New Roman" w:cs="Times New Roman"/>
            <w:color w:val="0000FF"/>
            <w:sz w:val="24"/>
            <w:szCs w:val="24"/>
          </w:rPr>
          <w:t>кодекс</w:t>
        </w:r>
      </w:hyperlink>
      <w:r w:rsidRPr="00E41DE6">
        <w:rPr>
          <w:rFonts w:ascii="Times New Roman" w:hAnsi="Times New Roman" w:cs="Times New Roman"/>
          <w:sz w:val="24"/>
          <w:szCs w:val="24"/>
        </w:rPr>
        <w:t xml:space="preserve"> РФ внесены поправки, которыми установлено, что если кадастровая стоимость имущества на 1 января 2023 г. превысит кадастровую стоимость, которая была на 1 января 2022 г., то исчисление налога на имущество и земельного налога необходимо производить исходя из кадастровой стоимости на 1 января 2022 г. (</w:t>
      </w:r>
      <w:hyperlink r:id="rId11">
        <w:r w:rsidRPr="00E41DE6">
          <w:rPr>
            <w:rFonts w:ascii="Times New Roman" w:hAnsi="Times New Roman" w:cs="Times New Roman"/>
            <w:color w:val="0000FF"/>
            <w:sz w:val="24"/>
            <w:szCs w:val="24"/>
          </w:rPr>
          <w:t>п. 17</w:t>
        </w:r>
      </w:hyperlink>
      <w:r w:rsidRPr="00E41DE6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E41DE6">
          <w:rPr>
            <w:rFonts w:ascii="Times New Roman" w:hAnsi="Times New Roman" w:cs="Times New Roman"/>
            <w:color w:val="0000FF"/>
            <w:sz w:val="24"/>
            <w:szCs w:val="24"/>
          </w:rPr>
          <w:t>18</w:t>
        </w:r>
      </w:hyperlink>
      <w:r w:rsidRPr="00E41DE6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E41DE6">
          <w:rPr>
            <w:rFonts w:ascii="Times New Roman" w:hAnsi="Times New Roman" w:cs="Times New Roman"/>
            <w:color w:val="0000FF"/>
            <w:sz w:val="24"/>
            <w:szCs w:val="24"/>
          </w:rPr>
          <w:t>19 ст. 2</w:t>
        </w:r>
      </w:hyperlink>
      <w:r w:rsidRPr="00E41DE6">
        <w:rPr>
          <w:rFonts w:ascii="Times New Roman" w:hAnsi="Times New Roman" w:cs="Times New Roman"/>
          <w:sz w:val="24"/>
          <w:szCs w:val="24"/>
        </w:rPr>
        <w:t xml:space="preserve"> Закона N 67-ФЗ). Исключением являются случаи, когда изменение кадастровой стоимости произошло в результате изменений характеристик имущества (недвижимости или земельного участка). Напомним, что собственник может оспорить кадастровую оценку принадлежащего ему имущества, в результате чего может произойти снижение кадастровой стоимости однотипных объектов, принадлежащих другим лицам.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При переходе на уплату налогов единым платежом нужно обязательно проверять правильность исчисления налога заблаговременно, с тем чтобы было время на их оспаривание. В противном случае неуплата одного налога, с исчислением которого налогоплательщик не согласен, приведет к недоимке п</w:t>
      </w:r>
      <w:r w:rsidR="0043423A" w:rsidRPr="00E41DE6">
        <w:rPr>
          <w:rFonts w:ascii="Times New Roman" w:hAnsi="Times New Roman" w:cs="Times New Roman"/>
          <w:sz w:val="24"/>
          <w:szCs w:val="24"/>
        </w:rPr>
        <w:t>о всем налоговым обязательствам.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2079" w:rsidRPr="00E41DE6" w:rsidRDefault="00DA2079" w:rsidP="00E41DE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3.2. Транспортный налог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 xml:space="preserve">Транспортный налог является региональным налогом, ставки налога устанавливаются на уровне субъектов Федерации в порядке, регламентированном </w:t>
      </w:r>
      <w:hyperlink r:id="rId14">
        <w:r w:rsidRPr="00E41DE6">
          <w:rPr>
            <w:rFonts w:ascii="Times New Roman" w:hAnsi="Times New Roman" w:cs="Times New Roman"/>
            <w:color w:val="0000FF"/>
            <w:sz w:val="24"/>
            <w:szCs w:val="24"/>
          </w:rPr>
          <w:t>ст. 361</w:t>
        </w:r>
      </w:hyperlink>
      <w:r w:rsidRPr="00E41DE6">
        <w:rPr>
          <w:rFonts w:ascii="Times New Roman" w:hAnsi="Times New Roman" w:cs="Times New Roman"/>
          <w:sz w:val="24"/>
          <w:szCs w:val="24"/>
        </w:rPr>
        <w:t xml:space="preserve"> НК РФ. Основным изменением в 2023 г. станет уплата налога за 2022 г. без повышающих коэффициентов для автомобилей стоимостью от 3 млн до 10 млн руб. (см. таблицу).</w:t>
      </w:r>
    </w:p>
    <w:p w:rsidR="00DA2079" w:rsidRPr="00E41DE6" w:rsidRDefault="00DA2079" w:rsidP="00E41D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41DE6">
        <w:rPr>
          <w:rFonts w:ascii="Times New Roman" w:hAnsi="Times New Roman" w:cs="Times New Roman"/>
          <w:sz w:val="24"/>
          <w:szCs w:val="24"/>
        </w:rPr>
        <w:t>Таблица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2079" w:rsidRPr="00E41DE6" w:rsidRDefault="00DA2079" w:rsidP="00E41D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41DE6">
        <w:rPr>
          <w:rFonts w:ascii="Times New Roman" w:hAnsi="Times New Roman" w:cs="Times New Roman"/>
          <w:sz w:val="24"/>
          <w:szCs w:val="24"/>
        </w:rPr>
        <w:t>Повышающие коэффициенты для транспортного налога</w:t>
      </w:r>
    </w:p>
    <w:p w:rsidR="00DA2079" w:rsidRPr="00E41DE6" w:rsidRDefault="00DA2079" w:rsidP="00E41D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2494"/>
        <w:gridCol w:w="2040"/>
        <w:gridCol w:w="2267"/>
      </w:tblGrid>
      <w:tr w:rsidR="00DA2079" w:rsidRPr="00E41DE6">
        <w:tc>
          <w:tcPr>
            <w:tcW w:w="2267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легкового автомобиля, руб.</w:t>
            </w:r>
          </w:p>
        </w:tc>
        <w:tc>
          <w:tcPr>
            <w:tcW w:w="2494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лет, которое прошло с года выпуска автомобиля</w:t>
            </w:r>
          </w:p>
        </w:tc>
        <w:tc>
          <w:tcPr>
            <w:tcW w:w="2040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b/>
                <w:sz w:val="24"/>
                <w:szCs w:val="24"/>
              </w:rPr>
              <w:t>Повышающий коэффициент в 2021 г.</w:t>
            </w:r>
          </w:p>
        </w:tc>
        <w:tc>
          <w:tcPr>
            <w:tcW w:w="2267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b/>
                <w:sz w:val="24"/>
                <w:szCs w:val="24"/>
              </w:rPr>
              <w:t>Повышающий коэффициент в 2022 - 2023 гг.</w:t>
            </w:r>
          </w:p>
        </w:tc>
      </w:tr>
      <w:tr w:rsidR="00DA2079" w:rsidRPr="00E41DE6">
        <w:tc>
          <w:tcPr>
            <w:tcW w:w="2267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от 3 000 000 до 5 000 000 включительно</w:t>
            </w:r>
          </w:p>
        </w:tc>
        <w:tc>
          <w:tcPr>
            <w:tcW w:w="2494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до 3 лет</w:t>
            </w:r>
          </w:p>
        </w:tc>
        <w:tc>
          <w:tcPr>
            <w:tcW w:w="2040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67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2079" w:rsidRPr="00E41DE6">
        <w:tc>
          <w:tcPr>
            <w:tcW w:w="2267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от 5 000 000 до 10 000 000 включительно</w:t>
            </w:r>
          </w:p>
        </w:tc>
        <w:tc>
          <w:tcPr>
            <w:tcW w:w="2494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не более 5 лет</w:t>
            </w:r>
          </w:p>
        </w:tc>
        <w:tc>
          <w:tcPr>
            <w:tcW w:w="2040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7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2079" w:rsidRPr="00E41DE6">
        <w:tc>
          <w:tcPr>
            <w:tcW w:w="2267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от 10 000 000 до 15 000 000 включительно</w:t>
            </w:r>
          </w:p>
        </w:tc>
        <w:tc>
          <w:tcPr>
            <w:tcW w:w="2494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не более 10 лет</w:t>
            </w:r>
          </w:p>
        </w:tc>
        <w:tc>
          <w:tcPr>
            <w:tcW w:w="2040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7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2079" w:rsidRPr="00E41DE6">
        <w:tc>
          <w:tcPr>
            <w:tcW w:w="2267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свыше 15 000 000</w:t>
            </w:r>
          </w:p>
        </w:tc>
        <w:tc>
          <w:tcPr>
            <w:tcW w:w="2494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не более 20 лет</w:t>
            </w:r>
          </w:p>
        </w:tc>
        <w:tc>
          <w:tcPr>
            <w:tcW w:w="2040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7" w:type="dxa"/>
            <w:vAlign w:val="center"/>
          </w:tcPr>
          <w:p w:rsidR="00DA2079" w:rsidRPr="00E41DE6" w:rsidRDefault="00DA2079" w:rsidP="00E41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A2079" w:rsidRPr="00E41DE6" w:rsidRDefault="00DA2079" w:rsidP="007016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DA2079" w:rsidRPr="00E41DE6" w:rsidSect="0075113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79"/>
    <w:rsid w:val="0043423A"/>
    <w:rsid w:val="007016D5"/>
    <w:rsid w:val="0075113F"/>
    <w:rsid w:val="00DA2079"/>
    <w:rsid w:val="00DC39B3"/>
    <w:rsid w:val="00E4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A43"/>
  <w15:chartTrackingRefBased/>
  <w15:docId w15:val="{FB062EA9-1AF8-46BD-A100-E136B00E6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207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A207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A207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2654D905417CDD6C179343D567B6456D9867FB7F0352988DDD1573B9C92A96E7D4798AC14841DFE3BE4D18B980D453765020179FB157dB6FB" TargetMode="External"/><Relationship Id="rId13" Type="http://schemas.openxmlformats.org/officeDocument/2006/relationships/hyperlink" Target="consultantplus://offline/ref=852654D905417CDD6C179343D567B6456D9F65F2710452988DDD1573B9C92A96E7D47989C04E49DDE1E1480DA8D8D8556F4F210983B355BEdA6A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52654D905417CDD6C179343D567B6456D9867FB7F0352988DDD1573B9C92A96E7D4798AC14841DDE3BE4D18B980D453765020179FB157dB6FB" TargetMode="External"/><Relationship Id="rId12" Type="http://schemas.openxmlformats.org/officeDocument/2006/relationships/hyperlink" Target="consultantplus://offline/ref=852654D905417CDD6C179343D567B6456D9F65F2710452988DDD1573B9C92A96E7D47989C04E49DDEDE1480DA8D8D8556F4F210983B355BEdA6AB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52654D905417CDD6C179343D567B6456D9863F9700152988DDD1573B9C92A96E7D4798BC2494FD7BCBB5809E18CD24A69513E0B9DB3d566B" TargetMode="External"/><Relationship Id="rId11" Type="http://schemas.openxmlformats.org/officeDocument/2006/relationships/hyperlink" Target="consultantplus://offline/ref=852654D905417CDD6C179343D567B6456D9F65F2710452988DDD1573B9C92A96E7D47989C04E49DDE9E1480DA8D8D8556F4F210983B355BEdA6AB" TargetMode="External"/><Relationship Id="rId5" Type="http://schemas.openxmlformats.org/officeDocument/2006/relationships/hyperlink" Target="consultantplus://offline/ref=852654D905417CDD6C179343D567B6456D9863F9700152988DDD1573B9C92A96E7D4798EC04A4FD7BCBB5809E18CD24A69513E0B9DB3d566B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52654D905417CDD6C179343D567B6456D9867FB7F0352988DDD1573B9C92A96F5D42185C14956DDE8F41E5CEEd86EB" TargetMode="External"/><Relationship Id="rId4" Type="http://schemas.openxmlformats.org/officeDocument/2006/relationships/hyperlink" Target="consultantplus://offline/ref=852654D905417CDD6C179343D567B6456D9863F9700152988DDD1573B9C92A96E7D4798DC54640D7BCBB5809E18CD24A69513E0B9DB3d566B" TargetMode="External"/><Relationship Id="rId9" Type="http://schemas.openxmlformats.org/officeDocument/2006/relationships/hyperlink" Target="consultantplus://offline/ref=852654D905417CDD6C179343D567B6456D9F65F2710452988DDD1573B9C92A96F5D42185C14956DDE8F41E5CEEd86EB" TargetMode="External"/><Relationship Id="rId14" Type="http://schemas.openxmlformats.org/officeDocument/2006/relationships/hyperlink" Target="consultantplus://offline/ref=852654D905417CDD6C179343D567B6456D9867FB7F0352988DDD1573B9C92A96E7D47989C04D41DFE1E1480DA8D8D8556F4F210983B355BEdA6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1690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2023-10-17T02:08:00Z</dcterms:created>
  <dcterms:modified xsi:type="dcterms:W3CDTF">2023-10-17T02:18:00Z</dcterms:modified>
</cp:coreProperties>
</file>