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72" w:rsidRDefault="003A517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A5172" w:rsidRDefault="003A5172">
      <w:pPr>
        <w:pStyle w:val="ConsPlusNormal"/>
        <w:jc w:val="both"/>
        <w:outlineLvl w:val="0"/>
      </w:pPr>
    </w:p>
    <w:p w:rsidR="003A5172" w:rsidRDefault="003A5172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3A5172" w:rsidRDefault="003A5172">
      <w:pPr>
        <w:pStyle w:val="ConsPlusTitle"/>
        <w:jc w:val="center"/>
      </w:pPr>
    </w:p>
    <w:p w:rsidR="003A5172" w:rsidRDefault="003A5172">
      <w:pPr>
        <w:pStyle w:val="ConsPlusTitle"/>
        <w:jc w:val="center"/>
      </w:pPr>
      <w:r>
        <w:t>ИНФОРМАЦИЯ</w:t>
      </w:r>
    </w:p>
    <w:p w:rsidR="003A5172" w:rsidRDefault="003A5172">
      <w:pPr>
        <w:pStyle w:val="ConsPlusTitle"/>
        <w:jc w:val="center"/>
      </w:pPr>
    </w:p>
    <w:p w:rsidR="003A5172" w:rsidRDefault="003A5172">
      <w:pPr>
        <w:pStyle w:val="ConsPlusTitle"/>
        <w:jc w:val="center"/>
      </w:pPr>
      <w:r>
        <w:t>ОСНОВНЫЕ НОВЕЛЛЫ</w:t>
      </w:r>
    </w:p>
    <w:p w:rsidR="003A5172" w:rsidRDefault="003A5172">
      <w:pPr>
        <w:pStyle w:val="ConsPlusTitle"/>
        <w:jc w:val="center"/>
      </w:pPr>
      <w:r>
        <w:t>В МЕТОДИЧЕСКИХ РЕКОМЕНДАЦИЯХ ПО ВОПРОСАМ ПРЕДСТАВЛЕНИЯ</w:t>
      </w:r>
    </w:p>
    <w:p w:rsidR="003A5172" w:rsidRDefault="003A5172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3A5172" w:rsidRDefault="003A5172">
      <w:pPr>
        <w:pStyle w:val="ConsPlusTitle"/>
        <w:jc w:val="center"/>
      </w:pPr>
      <w:r>
        <w:t>ИМУЩЕСТВЕННОГО ХАРАКТЕРА И ЗАПОЛНЕНИЯ СООТВЕТСТВУЮЩЕЙ ФОРМЫ</w:t>
      </w:r>
    </w:p>
    <w:p w:rsidR="003A5172" w:rsidRDefault="003A5172">
      <w:pPr>
        <w:pStyle w:val="ConsPlusTitle"/>
        <w:jc w:val="center"/>
      </w:pPr>
      <w:r>
        <w:t>СПРАВКИ В 2023 ГОДУ (ЗА ОТЧЕТНЫЙ 2022 ГОД)</w:t>
      </w:r>
    </w:p>
    <w:p w:rsidR="003A5172" w:rsidRDefault="003A5172">
      <w:pPr>
        <w:pStyle w:val="ConsPlusNormal"/>
        <w:jc w:val="center"/>
      </w:pPr>
    </w:p>
    <w:p w:rsidR="003A5172" w:rsidRDefault="003A5172">
      <w:pPr>
        <w:pStyle w:val="ConsPlusNormal"/>
        <w:ind w:firstLine="540"/>
        <w:jc w:val="both"/>
      </w:pPr>
      <w:r>
        <w:t xml:space="preserve">В течение последних лет является устоявшейся практика подготовки Министерством труда и социальной защиты Российской </w:t>
      </w:r>
      <w:proofErr w:type="gramStart"/>
      <w:r>
        <w:t>Федерации</w:t>
      </w:r>
      <w:proofErr w:type="gramEnd"/>
      <w:r>
        <w:t xml:space="preserve"> ежегодно обновляемых Методических </w:t>
      </w:r>
      <w:hyperlink r:id="rId6">
        <w:r>
          <w:rPr>
            <w:color w:val="0000FF"/>
          </w:rPr>
          <w:t>рекомендаций</w:t>
        </w:r>
      </w:hyperlink>
      <w: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- Методические рекомендации, сведения соответственно), размещения их на официальном сайте Минтруда России.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Методические </w:t>
      </w:r>
      <w:hyperlink r:id="rId7">
        <w:r>
          <w:rPr>
            <w:color w:val="0000FF"/>
          </w:rPr>
          <w:t>рекомендации</w:t>
        </w:r>
      </w:hyperlink>
      <w:r>
        <w:t xml:space="preserve"> для применения в ходе декларационной кампании 2023 года (за отчетный 2022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В ходе использования в работе указанных Методических </w:t>
      </w:r>
      <w:hyperlink r:id="rId8">
        <w:r>
          <w:rPr>
            <w:color w:val="0000FF"/>
          </w:rPr>
          <w:t>рекомендаций</w:t>
        </w:r>
      </w:hyperlink>
      <w:r>
        <w:t xml:space="preserve"> предлагаем обратить внимание на следующее.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1. Методические </w:t>
      </w:r>
      <w:hyperlink r:id="rId9">
        <w:r>
          <w:rPr>
            <w:color w:val="0000FF"/>
          </w:rPr>
          <w:t>рекомендации</w:t>
        </w:r>
      </w:hyperlink>
      <w:r>
        <w:t xml:space="preserve"> учитывают особенности представления сведений лицами, замещающими публичные должности на территориях Донецкой Народной Республики, Луганской Народной Республики, Запорожской области и Херсонской области, а также отдельными категориями лиц в связи с проведением специальной военной операции.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2. В Методических </w:t>
      </w:r>
      <w:hyperlink r:id="rId10">
        <w:r>
          <w:rPr>
            <w:color w:val="0000FF"/>
          </w:rPr>
          <w:t>рекомендациях</w:t>
        </w:r>
      </w:hyperlink>
      <w:r>
        <w:t xml:space="preserve"> предлагается определенная иерархия организации работы по оказанию консультативной и методической помощи в представлении сведений.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3. В </w:t>
      </w:r>
      <w:hyperlink r:id="rId11">
        <w:r>
          <w:rPr>
            <w:color w:val="0000FF"/>
          </w:rPr>
          <w:t>пункте 20</w:t>
        </w:r>
      </w:hyperlink>
      <w:r>
        <w:t xml:space="preserve"> Методических рекомендаций подчеркнуто, что квалифицирующим признаком для возникновения обязанности представить сведения в рамках декларационной кампании, по общему правилу, являются правоотношения, имеющиеся на 31 декабря отчетного года.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>4. Отмечено, что уточненные сведения за предыдущие декларационные кампании не представляются, но в рамках текущей декларационной кампании к сведениям могут быть приложены применимые пояснения (</w:t>
      </w:r>
      <w:hyperlink r:id="rId12">
        <w:r>
          <w:rPr>
            <w:color w:val="0000FF"/>
          </w:rPr>
          <w:t>пункт 37</w:t>
        </w:r>
      </w:hyperlink>
      <w:r>
        <w:t xml:space="preserve"> Методических рекомендаций).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5. В </w:t>
      </w:r>
      <w:hyperlink r:id="rId13">
        <w:r>
          <w:rPr>
            <w:color w:val="0000FF"/>
          </w:rPr>
          <w:t>пункте 44</w:t>
        </w:r>
      </w:hyperlink>
      <w:r>
        <w:t xml:space="preserve"> Методических рекомендаций отдельно указаны полномочия субъектов Российской Федерации и муниципальных образований в регулировании вопросов невозможности представления сведений отдельными категориями лиц.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>6. Указана необходимость оценки использования актуальной версии специального программного обеспечения "Справки БК" на дату представления сведений.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7. В </w:t>
      </w:r>
      <w:hyperlink r:id="rId14">
        <w:r>
          <w:rPr>
            <w:color w:val="0000FF"/>
          </w:rPr>
          <w:t>пункте 53</w:t>
        </w:r>
      </w:hyperlink>
      <w:r>
        <w:t xml:space="preserve"> Методических рекомендаций обращено внимание на ситуации, получения денежных средств от реализации товаров (работ или услуг) и одновременном их распоряжении в пользу третьих лиц.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8. Актуализирован перечень выплат, которые могут быть признаны доходом для целей </w:t>
      </w:r>
      <w:r>
        <w:lastRenderedPageBreak/>
        <w:t>законодательства Российской Федерации о противодействии коррупции, а также перечень денежных средств, которые не являются таким доходом.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9. Учитывая возникающие на практике </w:t>
      </w:r>
      <w:proofErr w:type="gramStart"/>
      <w:r>
        <w:t>вопросы</w:t>
      </w:r>
      <w:proofErr w:type="gramEnd"/>
      <w:r>
        <w:t xml:space="preserve"> повторно отмечаем, что доход от операций с ценными бумагами выражается в величине суммы финансового результата.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10. Уточнены положения Методических </w:t>
      </w:r>
      <w:hyperlink r:id="rId15">
        <w:r>
          <w:rPr>
            <w:color w:val="0000FF"/>
          </w:rPr>
          <w:t>рекомендаций</w:t>
        </w:r>
      </w:hyperlink>
      <w:r>
        <w:t>, касающиеся цифровых финансовых инструментов.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11. В </w:t>
      </w:r>
      <w:hyperlink r:id="rId16">
        <w:r>
          <w:rPr>
            <w:color w:val="0000FF"/>
          </w:rPr>
          <w:t>пункте 181</w:t>
        </w:r>
      </w:hyperlink>
      <w:r>
        <w:t xml:space="preserve"> Методических рекомендаций акцентировано внимание на особенностях владения инвестиционными паями паевых инвестиционных фондов.</w:t>
      </w:r>
    </w:p>
    <w:p w:rsidR="003A5172" w:rsidRDefault="003A5172">
      <w:pPr>
        <w:pStyle w:val="ConsPlusNormal"/>
        <w:spacing w:before="220"/>
        <w:ind w:firstLine="540"/>
        <w:jc w:val="both"/>
      </w:pPr>
      <w:r>
        <w:t xml:space="preserve">12. Положения Методических </w:t>
      </w:r>
      <w:hyperlink r:id="rId17">
        <w:r>
          <w:rPr>
            <w:color w:val="0000FF"/>
          </w:rPr>
          <w:t>рекомендаций</w:t>
        </w:r>
      </w:hyperlink>
      <w:r>
        <w:t xml:space="preserve"> в целом актуализированы с учетом изменений нормативных правовых актов Российской Федерации.</w:t>
      </w:r>
    </w:p>
    <w:p w:rsidR="003A5172" w:rsidRDefault="003A5172">
      <w:pPr>
        <w:pStyle w:val="ConsPlusNormal"/>
        <w:jc w:val="both"/>
      </w:pPr>
    </w:p>
    <w:p w:rsidR="003A5172" w:rsidRDefault="003A5172">
      <w:pPr>
        <w:pStyle w:val="ConsPlusNormal"/>
        <w:jc w:val="both"/>
      </w:pPr>
    </w:p>
    <w:p w:rsidR="003A5172" w:rsidRDefault="003A51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D331C" w:rsidRDefault="00CD331C">
      <w:bookmarkStart w:id="0" w:name="_GoBack"/>
      <w:bookmarkEnd w:id="0"/>
    </w:p>
    <w:sectPr w:rsidR="00CD331C" w:rsidSect="00405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172"/>
    <w:rsid w:val="00314359"/>
    <w:rsid w:val="003A5172"/>
    <w:rsid w:val="007C093D"/>
    <w:rsid w:val="00854298"/>
    <w:rsid w:val="009715B1"/>
    <w:rsid w:val="00CD331C"/>
    <w:rsid w:val="00D3716C"/>
    <w:rsid w:val="00E30FA8"/>
    <w:rsid w:val="00E605DF"/>
    <w:rsid w:val="00F6161B"/>
    <w:rsid w:val="00F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51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A51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A51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51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A51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A51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939A4C43883736F01F9A19C767035C6C5928CF088CF8FDFC3F337988B4E8CC63C7CEAD05C4827A73FD46CD32h216G" TargetMode="External"/><Relationship Id="rId13" Type="http://schemas.openxmlformats.org/officeDocument/2006/relationships/hyperlink" Target="consultantplus://offline/ref=3C939A4C43883736F01F9A19C767035C6C5928CF088CF8FDFC3F337988B4E8CC71C796A104C79D7D74E8109C74706C0E8540C33C5BEA9DD7h41B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C939A4C43883736F01F9A19C767035C6C5928CF088CF8FDFC3F337988B4E8CC63C7CEAD05C4827A73FD46CD32h216G" TargetMode="External"/><Relationship Id="rId12" Type="http://schemas.openxmlformats.org/officeDocument/2006/relationships/hyperlink" Target="consultantplus://offline/ref=3C939A4C43883736F01F9A19C767035C6C5928CF088CF8FDFC3F337988B4E8CC71C796A104C79D7F72E8109C74706C0E8540C33C5BEA9DD7h41BG" TargetMode="External"/><Relationship Id="rId17" Type="http://schemas.openxmlformats.org/officeDocument/2006/relationships/hyperlink" Target="consultantplus://offline/ref=3C939A4C43883736F01F9A19C767035C6C5928CF088CF8FDFC3F337988B4E8CC63C7CEAD05C4827A73FD46CD32h216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C939A4C43883736F01F9A19C767035C6C5928CF088CF8FDFC3F337988B4E8CC71C796A104C7997C78E8109C74706C0E8540C33C5BEA9DD7h41B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C939A4C43883736F01F9A19C767035C6C5928CF088CF8FDFC3F337988B4E8CC63C7CEAD05C4827A73FD46CD32h216G" TargetMode="External"/><Relationship Id="rId11" Type="http://schemas.openxmlformats.org/officeDocument/2006/relationships/hyperlink" Target="consultantplus://offline/ref=3C939A4C43883736F01F9A19C767035C6C5928CF088CF8FDFC3F337988B4E8CC71C796A104C79C7D75E8109C74706C0E8540C33C5BEA9DD7h41B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3C939A4C43883736F01F9A19C767035C6C5928CF088CF8FDFC3F337988B4E8CC63C7CEAD05C4827A73FD46CD32h216G" TargetMode="External"/><Relationship Id="rId10" Type="http://schemas.openxmlformats.org/officeDocument/2006/relationships/hyperlink" Target="consultantplus://offline/ref=3C939A4C43883736F01F9A19C767035C6C5928CF088CF8FDFC3F337988B4E8CC63C7CEAD05C4827A73FD46CD32h216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939A4C43883736F01F9A19C767035C6C5928CF088CF8FDFC3F337988B4E8CC63C7CEAD05C4827A73FD46CD32h216G" TargetMode="External"/><Relationship Id="rId14" Type="http://schemas.openxmlformats.org/officeDocument/2006/relationships/hyperlink" Target="consultantplus://offline/ref=3C939A4C43883736F01F9A19C767035C6C5928CF088CF8FDFC3F337988B4E8CC71C796A104C79E7B71E8109C74706C0E8540C33C5BEA9DD7h41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Jur5</dc:creator>
  <cp:lastModifiedBy>Jur5</cp:lastModifiedBy>
  <cp:revision>1</cp:revision>
  <dcterms:created xsi:type="dcterms:W3CDTF">2023-03-13T06:53:00Z</dcterms:created>
  <dcterms:modified xsi:type="dcterms:W3CDTF">2023-03-13T06:54:00Z</dcterms:modified>
</cp:coreProperties>
</file>