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МИНИСТЕРСТВО ТРУДА И СОЦИАЛЬНОЙ ЗАЩИТЫ РОССИЙСКОЙ ФЕДЕРАЦИИ</w:t>
      </w:r>
    </w:p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ИНФОРМАЦИЯ</w:t>
      </w:r>
    </w:p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ОСНОВНЫЕ НОВЕЛЛЫ</w:t>
      </w:r>
    </w:p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МЕТОДИЧЕСКИХ РЕКОМЕНДАЦИЯХ ПО ВОПРОСАМ ПРЕДСТАВЛЕНИЯ</w:t>
      </w:r>
    </w:p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СВЕДЕНИЙ О ДОХОДАХ, РАСХОДАХ, ОБ ИМУЩЕСТВЕ И ОБЯЗАТЕЛЬСТВАХ</w:t>
      </w:r>
    </w:p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ИМУЩЕСТВЕННОГО ХАРАКТЕРА И ЗАПОЛНЕНИЯ СООТВЕТСТВУЮЩЕЙ ФОРМЫ</w:t>
      </w:r>
    </w:p>
    <w:p w:rsidR="0047545F" w:rsidRDefault="0047545F" w:rsidP="0047545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СПРАВКИ В 2022 ГОДУ (ЗА ОТЧЕТНЫЙ 2021 ГОД)</w:t>
      </w:r>
    </w:p>
    <w:p w:rsidR="0047545F" w:rsidRDefault="0047545F" w:rsidP="004754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7545F" w:rsidRDefault="0047545F" w:rsidP="004754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течение последних лет является устоявшейся практика подготовки Министерством труда и социальной защиты Российской </w:t>
      </w:r>
      <w:proofErr w:type="gramStart"/>
      <w:r>
        <w:rPr>
          <w:rFonts w:ascii="Arial" w:hAnsi="Arial" w:cs="Arial"/>
          <w:sz w:val="20"/>
          <w:szCs w:val="20"/>
        </w:rPr>
        <w:t>Федерации</w:t>
      </w:r>
      <w:proofErr w:type="gramEnd"/>
      <w:r>
        <w:rPr>
          <w:rFonts w:ascii="Arial" w:hAnsi="Arial" w:cs="Arial"/>
          <w:sz w:val="20"/>
          <w:szCs w:val="20"/>
        </w:rPr>
        <w:t xml:space="preserve"> ежегодно обновляемых Методических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рекомендаций</w:t>
        </w:r>
      </w:hyperlink>
      <w:r>
        <w:rPr>
          <w:rFonts w:ascii="Arial" w:hAnsi="Arial" w:cs="Arial"/>
          <w:sz w:val="20"/>
          <w:szCs w:val="20"/>
        </w:rP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-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Методические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рекомендации</w:t>
        </w:r>
      </w:hyperlink>
      <w:r>
        <w:rPr>
          <w:rFonts w:ascii="Arial" w:hAnsi="Arial" w:cs="Arial"/>
          <w:sz w:val="20"/>
          <w:szCs w:val="20"/>
        </w:rPr>
        <w:t xml:space="preserve"> для применения в ходе декларационной кампании 2022 года (за отчетный 2021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ходе использования в работе указанных Методических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рекомендаций</w:t>
        </w:r>
      </w:hyperlink>
      <w:r>
        <w:rPr>
          <w:rFonts w:ascii="Arial" w:hAnsi="Arial" w:cs="Arial"/>
          <w:sz w:val="20"/>
          <w:szCs w:val="20"/>
        </w:rPr>
        <w:t xml:space="preserve"> предлагаем обратить внимание на следующее.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В Методических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рекомендациях</w:t>
        </w:r>
      </w:hyperlink>
      <w:r>
        <w:rPr>
          <w:rFonts w:ascii="Arial" w:hAnsi="Arial" w:cs="Arial"/>
          <w:sz w:val="20"/>
          <w:szCs w:val="20"/>
        </w:rPr>
        <w:t xml:space="preserve"> подчеркнуто, что отдельные особенности представления сведений могут быть установлены нормативными правовыми актами субъектов Российской Федерации с учетом предоставленных полномочий.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В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пункте 13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отмечено, что перевод на государственной гражданской службе Российской Федерации предполагает увольнение и, как следствие, необходимость представления сведений в качестве кандидата.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Ошибочное (неточное) указание сведений вследствие ошибок и неточностей, допущенных органом публичной власти или организацией в выданных официальных документах (выписках), на основании которых представляются сведения, не влечет применение взыскания. </w:t>
      </w:r>
      <w:proofErr w:type="gramStart"/>
      <w:r>
        <w:rPr>
          <w:rFonts w:ascii="Arial" w:hAnsi="Arial" w:cs="Arial"/>
          <w:sz w:val="20"/>
          <w:szCs w:val="20"/>
        </w:rPr>
        <w:t xml:space="preserve">В этой связи в Методических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рекомендациях</w:t>
        </w:r>
      </w:hyperlink>
      <w:r>
        <w:rPr>
          <w:rFonts w:ascii="Arial" w:hAnsi="Arial" w:cs="Arial"/>
          <w:sz w:val="20"/>
          <w:szCs w:val="20"/>
        </w:rPr>
        <w:t xml:space="preserve"> отмечена целесообразность представления сведений на основании официальных документов, например, на основании полученной информации из единой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формы</w:t>
        </w:r>
      </w:hyperlink>
      <w:r>
        <w:rPr>
          <w:rFonts w:ascii="Arial" w:hAnsi="Arial" w:cs="Arial"/>
          <w:sz w:val="20"/>
          <w:szCs w:val="20"/>
        </w:rPr>
        <w:t xml:space="preserve">, установленной Указанием Банка России от 27 мая 2021 г. N 5798-У "О порядке предоставления кредитными организациями и </w:t>
      </w:r>
      <w:proofErr w:type="spellStart"/>
      <w:r>
        <w:rPr>
          <w:rFonts w:ascii="Arial" w:hAnsi="Arial" w:cs="Arial"/>
          <w:sz w:val="20"/>
          <w:szCs w:val="20"/>
        </w:rPr>
        <w:t>некредитными</w:t>
      </w:r>
      <w:proofErr w:type="spellEnd"/>
      <w:r>
        <w:rPr>
          <w:rFonts w:ascii="Arial" w:hAnsi="Arial" w:cs="Arial"/>
          <w:sz w:val="20"/>
          <w:szCs w:val="20"/>
        </w:rPr>
        <w:t xml:space="preserve"> финансовыми организациями гражданам сведений о наличии счетов и иной информации, необходимой для представления гражданами сведений о доходах, расходах, об имуществе</w:t>
      </w:r>
      <w:proofErr w:type="gramEnd"/>
      <w:r>
        <w:rPr>
          <w:rFonts w:ascii="Arial" w:hAnsi="Arial" w:cs="Arial"/>
          <w:sz w:val="20"/>
          <w:szCs w:val="20"/>
        </w:rPr>
        <w:t xml:space="preserve"> и </w:t>
      </w:r>
      <w:proofErr w:type="gramStart"/>
      <w:r>
        <w:rPr>
          <w:rFonts w:ascii="Arial" w:hAnsi="Arial" w:cs="Arial"/>
          <w:sz w:val="20"/>
          <w:szCs w:val="20"/>
        </w:rPr>
        <w:t>обязательствах</w:t>
      </w:r>
      <w:proofErr w:type="gramEnd"/>
      <w:r>
        <w:rPr>
          <w:rFonts w:ascii="Arial" w:hAnsi="Arial" w:cs="Arial"/>
          <w:sz w:val="20"/>
          <w:szCs w:val="20"/>
        </w:rPr>
        <w:t xml:space="preserve"> имущественного характера, о единой форме предоставления сведений и порядке ее заполнения".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Актуализирован перечень выплат, которые могут быть признаны доходом для целей законодательства Российской Федерации о противодействии коррупции.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Указан порядок отражения социальной поддержки молодежи в возрасте от 14 до 22 лет для повышения доступности организаций культуры (т.н. "Пушкинская карта").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proofErr w:type="gramStart"/>
      <w:r>
        <w:rPr>
          <w:rFonts w:ascii="Arial" w:hAnsi="Arial" w:cs="Arial"/>
          <w:sz w:val="20"/>
          <w:szCs w:val="20"/>
        </w:rPr>
        <w:t xml:space="preserve">В Методических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рекомендациях</w:t>
        </w:r>
      </w:hyperlink>
      <w:r>
        <w:rPr>
          <w:rFonts w:ascii="Arial" w:hAnsi="Arial" w:cs="Arial"/>
          <w:sz w:val="20"/>
          <w:szCs w:val="20"/>
        </w:rPr>
        <w:t xml:space="preserve"> учтены изменения, предусмотренные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Указом</w:t>
        </w:r>
      </w:hyperlink>
      <w:r>
        <w:rPr>
          <w:rFonts w:ascii="Arial" w:hAnsi="Arial" w:cs="Arial"/>
          <w:sz w:val="20"/>
          <w:szCs w:val="20"/>
        </w:rPr>
        <w:t xml:space="preserve"> Президента Российской Федерации от 10 декабря 2020 г. N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Федерации".</w:t>
      </w:r>
      <w:proofErr w:type="gramEnd"/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Определены особенности представления информации в случае приобретение недвижимого имущества посредством участия в долевом строительстве с использованием счетов </w:t>
      </w:r>
      <w:proofErr w:type="spellStart"/>
      <w:r>
        <w:rPr>
          <w:rFonts w:ascii="Arial" w:hAnsi="Arial" w:cs="Arial"/>
          <w:sz w:val="20"/>
          <w:szCs w:val="20"/>
        </w:rPr>
        <w:t>эскроу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В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пункте 154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обозначено, что уставный капитал зарубежных организаций необходимо устанавливать в соответствии с применимым правом (допускается использование данных из официальных источников в информационно-телекоммуникационной сети "Интернет").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9. Определенны особенности представления информации об акциях, приобретенных на организованных торгах.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10. Отмечено, что при наличии обстоятельств фьючерсный договор подлежит отражению.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 Актуализированы особенности представления информации о срочных обязательствах финансового характера, возникающих исходя из условий договора со страховщиком.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12. Положения Методических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рекомендаций</w:t>
        </w:r>
      </w:hyperlink>
      <w:r>
        <w:rPr>
          <w:rFonts w:ascii="Arial" w:hAnsi="Arial" w:cs="Arial"/>
          <w:sz w:val="20"/>
          <w:szCs w:val="20"/>
        </w:rPr>
        <w:t xml:space="preserve"> в целом актуализированы с учетом изменений нормативных правовых актов Российской Федерации.</w:t>
      </w:r>
    </w:p>
    <w:p w:rsidR="00CD331C" w:rsidRDefault="00CD331C">
      <w:bookmarkStart w:id="0" w:name="_GoBack"/>
      <w:bookmarkEnd w:id="0"/>
    </w:p>
    <w:sectPr w:rsidR="00CD331C" w:rsidSect="002E057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45F"/>
    <w:rsid w:val="00314359"/>
    <w:rsid w:val="0047545F"/>
    <w:rsid w:val="007C093D"/>
    <w:rsid w:val="009715B1"/>
    <w:rsid w:val="00CD331C"/>
    <w:rsid w:val="00D3716C"/>
    <w:rsid w:val="00E30FA8"/>
    <w:rsid w:val="00F6161B"/>
    <w:rsid w:val="00F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F80C91FC2ECDD468B61FEE72063CAB011A3E068FE83D4AB8EAF56C01B7BABB5AC456C8E6FAD95CA712664ADC6FkFD" TargetMode="External"/><Relationship Id="rId13" Type="http://schemas.openxmlformats.org/officeDocument/2006/relationships/hyperlink" Target="consultantplus://offline/ref=62F80C91FC2ECDD468B61FEE72063CAB061D3A0A83EC3D4AB8EAF56C01B7BABB5AC456C8E6FAD95CA712664ADC6FkF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F80C91FC2ECDD468B61FEE72063CAB011A3E068FE83D4AB8EAF56C01B7BABB5AC456C8E6FAD95CA712664ADC6FkFD" TargetMode="External"/><Relationship Id="rId12" Type="http://schemas.openxmlformats.org/officeDocument/2006/relationships/hyperlink" Target="consultantplus://offline/ref=62F80C91FC2ECDD468B61FEE72063CAB011A3E068FE83D4AB8EAF56C01B7BABB5AC456C8E6FAD95CA712664ADC6FkFD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F80C91FC2ECDD468B61FEE72063CAB011A3E068FE83D4AB8EAF56C01B7BABB5AC456C8E6FAD95CA712664ADC6FkFD" TargetMode="External"/><Relationship Id="rId11" Type="http://schemas.openxmlformats.org/officeDocument/2006/relationships/hyperlink" Target="consultantplus://offline/ref=62F80C91FC2ECDD468B61FEE72063CAB0612330786EE3D4AB8EAF56C01B7BABB48C40EC4E7FEC75EAD07301B9AA838A60055BCCA633A821365k8D" TargetMode="External"/><Relationship Id="rId5" Type="http://schemas.openxmlformats.org/officeDocument/2006/relationships/hyperlink" Target="consultantplus://offline/ref=62F80C91FC2ECDD468B61FEE72063CAB011A3E068FE83D4AB8EAF56C01B7BABB5AC456C8E6FAD95CA712664ADC6FkFD" TargetMode="External"/><Relationship Id="rId15" Type="http://schemas.openxmlformats.org/officeDocument/2006/relationships/hyperlink" Target="consultantplus://offline/ref=62F80C91FC2ECDD468B61FEE72063CAB011A3E068FE83D4AB8EAF56C01B7BABB5AC456C8E6FAD95CA712664ADC6FkFD" TargetMode="External"/><Relationship Id="rId10" Type="http://schemas.openxmlformats.org/officeDocument/2006/relationships/hyperlink" Target="consultantplus://offline/ref=62F80C91FC2ECDD468B61FEE72063CAB011A3E068FE83D4AB8EAF56C01B7BABB5AC456C8E6FAD95CA712664ADC6FkF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F80C91FC2ECDD468B61FEE72063CAB011A3E068FE83D4AB8EAF56C01B7BABB48C40EC4E7FEC75AA407301B9AA838A60055BCCA633A821365k8D" TargetMode="External"/><Relationship Id="rId14" Type="http://schemas.openxmlformats.org/officeDocument/2006/relationships/hyperlink" Target="consultantplus://offline/ref=62F80C91FC2ECDD468B61FEE72063CAB011A3E068FE83D4AB8EAF56C01B7BABB48C40EC4E7FEC25DAD07301B9AA838A60055BCCA633A821365k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Jur5</dc:creator>
  <cp:lastModifiedBy>Jur5</cp:lastModifiedBy>
  <cp:revision>1</cp:revision>
  <dcterms:created xsi:type="dcterms:W3CDTF">2022-03-14T03:37:00Z</dcterms:created>
  <dcterms:modified xsi:type="dcterms:W3CDTF">2022-03-14T03:38:00Z</dcterms:modified>
</cp:coreProperties>
</file>